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8D4AA2" w:rsidRPr="008D4AA2" w14:paraId="6DCD43D5" w14:textId="77777777" w:rsidTr="008D4AA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8D4AA2" w:rsidRPr="008D4AA2" w14:paraId="2C3A6CE2" w14:textId="77777777">
              <w:trPr>
                <w:trHeight w:val="2250"/>
                <w:tblCellSpacing w:w="0" w:type="dxa"/>
                <w:jc w:val="center"/>
              </w:trPr>
              <w:tc>
                <w:tcPr>
                  <w:tcW w:w="5250" w:type="dxa"/>
                  <w:vAlign w:val="center"/>
                  <w:hideMark/>
                </w:tcPr>
                <w:p w14:paraId="14F593F9" w14:textId="7E3900CC" w:rsidR="008D4AA2" w:rsidRPr="008D4AA2" w:rsidRDefault="008D4AA2" w:rsidP="008D4AA2">
                  <w:pPr>
                    <w:spacing w:after="0" w:line="240" w:lineRule="auto"/>
                    <w:jc w:val="center"/>
                    <w:rPr>
                      <w:rFonts w:ascii="Times New Roman" w:eastAsia="Times New Roman" w:hAnsi="Times New Roman" w:cs="Times New Roman"/>
                      <w:sz w:val="24"/>
                      <w:szCs w:val="24"/>
                    </w:rPr>
                  </w:pPr>
                  <w:r w:rsidRPr="008D4AA2">
                    <w:rPr>
                      <w:rFonts w:ascii="Times New Roman" w:eastAsia="Times New Roman" w:hAnsi="Times New Roman" w:cs="Times New Roman"/>
                      <w:noProof/>
                      <w:color w:val="0000FF"/>
                      <w:sz w:val="24"/>
                      <w:szCs w:val="24"/>
                    </w:rPr>
                    <w:drawing>
                      <wp:inline distT="0" distB="0" distL="0" distR="0" wp14:anchorId="67F97EF0" wp14:editId="07024C6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86FE122" w14:textId="77777777" w:rsidR="008D4AA2" w:rsidRPr="008D4AA2" w:rsidRDefault="008D4AA2" w:rsidP="008D4AA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8D4AA2" w:rsidRPr="008D4AA2" w14:paraId="03992F8B" w14:textId="77777777">
              <w:trPr>
                <w:jc w:val="center"/>
              </w:trPr>
              <w:tc>
                <w:tcPr>
                  <w:tcW w:w="0" w:type="auto"/>
                  <w:shd w:val="clear" w:color="auto" w:fill="FFFFFF"/>
                  <w:vAlign w:val="center"/>
                  <w:hideMark/>
                </w:tcPr>
                <w:p w14:paraId="571CB6AF" w14:textId="554FB97B" w:rsidR="008D4AA2" w:rsidRPr="008D4AA2" w:rsidRDefault="008D4AA2" w:rsidP="008D4AA2">
                  <w:pPr>
                    <w:spacing w:after="0" w:line="510" w:lineRule="atLeast"/>
                    <w:jc w:val="center"/>
                    <w:rPr>
                      <w:rFonts w:ascii="Arial" w:eastAsia="Times New Roman" w:hAnsi="Arial" w:cs="Arial"/>
                      <w:b/>
                      <w:bCs/>
                      <w:color w:val="202020"/>
                      <w:sz w:val="51"/>
                      <w:szCs w:val="51"/>
                    </w:rPr>
                  </w:pPr>
                  <w:r w:rsidRPr="008D4AA2">
                    <w:rPr>
                      <w:rFonts w:ascii="Arial" w:eastAsia="Times New Roman" w:hAnsi="Arial" w:cs="Arial"/>
                      <w:b/>
                      <w:bCs/>
                      <w:noProof/>
                      <w:color w:val="202020"/>
                      <w:sz w:val="51"/>
                      <w:szCs w:val="51"/>
                    </w:rPr>
                    <w:drawing>
                      <wp:inline distT="0" distB="0" distL="0" distR="0" wp14:anchorId="6987AC9B" wp14:editId="6AD3AAE3">
                        <wp:extent cx="59436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950"/>
                                </a:xfrm>
                                <a:prstGeom prst="rect">
                                  <a:avLst/>
                                </a:prstGeom>
                                <a:noFill/>
                                <a:ln>
                                  <a:noFill/>
                                </a:ln>
                              </pic:spPr>
                            </pic:pic>
                          </a:graphicData>
                        </a:graphic>
                      </wp:inline>
                    </w:drawing>
                  </w:r>
                </w:p>
              </w:tc>
            </w:tr>
          </w:tbl>
          <w:p w14:paraId="26C1A46A" w14:textId="77777777" w:rsidR="008D4AA2" w:rsidRPr="008D4AA2" w:rsidRDefault="008D4AA2" w:rsidP="008D4AA2">
            <w:pPr>
              <w:spacing w:after="0" w:line="240" w:lineRule="auto"/>
              <w:jc w:val="center"/>
              <w:rPr>
                <w:rFonts w:ascii="Arial" w:eastAsia="Times New Roman" w:hAnsi="Arial" w:cs="Arial"/>
                <w:sz w:val="24"/>
                <w:szCs w:val="24"/>
              </w:rPr>
            </w:pPr>
          </w:p>
        </w:tc>
      </w:tr>
      <w:tr w:rsidR="008D4AA2" w:rsidRPr="008D4AA2" w14:paraId="1ADB9711" w14:textId="77777777" w:rsidTr="008D4AA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8D4AA2" w:rsidRPr="008D4AA2" w14:paraId="7C98527C"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8D4AA2" w:rsidRPr="008D4AA2" w14:paraId="71B5E09A" w14:textId="77777777">
                    <w:tc>
                      <w:tcPr>
                        <w:tcW w:w="0" w:type="auto"/>
                        <w:hideMark/>
                      </w:tcPr>
                      <w:p w14:paraId="76B02D99" w14:textId="77777777" w:rsidR="008D4AA2" w:rsidRPr="008D4AA2" w:rsidRDefault="008D4AA2" w:rsidP="008D4AA2">
                        <w:pPr>
                          <w:spacing w:after="0" w:line="527" w:lineRule="atLeast"/>
                          <w:outlineLvl w:val="0"/>
                          <w:rPr>
                            <w:rFonts w:ascii="Helvetica" w:eastAsia="Times New Roman" w:hAnsi="Helvetica" w:cs="Helvetica"/>
                            <w:b/>
                            <w:bCs/>
                            <w:color w:val="626262"/>
                            <w:kern w:val="36"/>
                            <w:sz w:val="41"/>
                            <w:szCs w:val="41"/>
                          </w:rPr>
                        </w:pPr>
                        <w:r w:rsidRPr="008D4AA2">
                          <w:rPr>
                            <w:rFonts w:ascii="Helvetica" w:eastAsia="Times New Roman" w:hAnsi="Helvetica" w:cs="Helvetica"/>
                            <w:b/>
                            <w:bCs/>
                            <w:color w:val="626262"/>
                            <w:kern w:val="36"/>
                            <w:sz w:val="41"/>
                            <w:szCs w:val="41"/>
                          </w:rPr>
                          <w:t>Don’t Panic If You Lose Your Job—and Your Health Insurance</w:t>
                        </w:r>
                      </w:p>
                      <w:p w14:paraId="5FD24416" w14:textId="77777777" w:rsidR="008D4AA2" w:rsidRPr="008D4AA2" w:rsidRDefault="008D4AA2" w:rsidP="008D4AA2">
                        <w:pPr>
                          <w:spacing w:before="100" w:beforeAutospacing="1" w:after="100" w:afterAutospacing="1" w:line="240" w:lineRule="auto"/>
                          <w:outlineLvl w:val="2"/>
                          <w:rPr>
                            <w:rFonts w:ascii="Helvetica" w:eastAsia="Times New Roman" w:hAnsi="Helvetica" w:cs="Helvetica"/>
                            <w:b/>
                            <w:bCs/>
                            <w:color w:val="505050"/>
                            <w:sz w:val="24"/>
                            <w:szCs w:val="24"/>
                          </w:rPr>
                        </w:pPr>
                        <w:r w:rsidRPr="008D4AA2">
                          <w:rPr>
                            <w:rFonts w:ascii="Helvetica" w:eastAsia="Times New Roman" w:hAnsi="Helvetica" w:cs="Helvetica"/>
                            <w:b/>
                            <w:bCs/>
                            <w:color w:val="505050"/>
                            <w:sz w:val="24"/>
                            <w:szCs w:val="24"/>
                          </w:rPr>
                          <w:t>Job loss, whether through early retirement or layoffs, can cause you to lose your employment-based health insurance. Fortunately, you have several options—even if you do not qualify for Medicaid or Medicare.</w:t>
                        </w:r>
                      </w:p>
                      <w:p w14:paraId="208AE36D" w14:textId="77777777" w:rsidR="008D4AA2" w:rsidRPr="008D4AA2" w:rsidRDefault="008D4AA2" w:rsidP="008D4AA2">
                        <w:pPr>
                          <w:spacing w:before="100" w:beforeAutospacing="1" w:after="100" w:afterAutospacing="1" w:line="240" w:lineRule="auto"/>
                          <w:rPr>
                            <w:rFonts w:ascii="Arial" w:eastAsia="Times New Roman" w:hAnsi="Arial" w:cs="Arial"/>
                            <w:color w:val="505050"/>
                            <w:sz w:val="21"/>
                            <w:szCs w:val="21"/>
                          </w:rPr>
                        </w:pPr>
                        <w:r w:rsidRPr="008D4AA2">
                          <w:rPr>
                            <w:rFonts w:ascii="Arial" w:eastAsia="Times New Roman" w:hAnsi="Arial" w:cs="Arial"/>
                            <w:color w:val="505050"/>
                            <w:sz w:val="21"/>
                            <w:szCs w:val="21"/>
                          </w:rPr>
                          <w:t>Medicaid provides health coverage for low-income Americans and Medicare is available once you turn 65. If you are too wealthy or too young for these programs, you’ll need to find an affordable alternative to protect you and your family from the rising costs of healthcare. The 2021 American Rescue Plan (ARP) provides alternative solutions at more affordable prices.</w:t>
                        </w:r>
                      </w:p>
                      <w:p w14:paraId="0B438180" w14:textId="77777777" w:rsidR="008D4AA2" w:rsidRPr="008D4AA2" w:rsidRDefault="008D4AA2" w:rsidP="008D4AA2">
                        <w:pPr>
                          <w:spacing w:before="100" w:beforeAutospacing="1" w:after="100" w:afterAutospacing="1" w:line="240" w:lineRule="auto"/>
                          <w:rPr>
                            <w:rFonts w:ascii="Arial" w:eastAsia="Times New Roman" w:hAnsi="Arial" w:cs="Arial"/>
                            <w:color w:val="505050"/>
                            <w:sz w:val="21"/>
                            <w:szCs w:val="21"/>
                          </w:rPr>
                        </w:pPr>
                        <w:r w:rsidRPr="008D4AA2">
                          <w:rPr>
                            <w:rFonts w:ascii="Arial" w:eastAsia="Times New Roman" w:hAnsi="Arial" w:cs="Arial"/>
                            <w:color w:val="505050"/>
                            <w:sz w:val="21"/>
                            <w:szCs w:val="21"/>
                          </w:rPr>
                          <w:t>The new COBRA program. One of the popular options for continuing your work-based health insurance for 18 months has been the COBRA program. While widely available, it is also very expensive, as applicants had to absorb the premiums that the employer used to pay (averaging 82% of individual premiums, 70% of family premiums</w:t>
                        </w:r>
                        <w:r w:rsidRPr="008D4AA2">
                          <w:rPr>
                            <w:rFonts w:ascii="Arial" w:eastAsia="Times New Roman" w:hAnsi="Arial" w:cs="Arial"/>
                            <w:color w:val="505050"/>
                            <w:sz w:val="21"/>
                            <w:szCs w:val="21"/>
                            <w:vertAlign w:val="superscript"/>
                          </w:rPr>
                          <w:t>1</w:t>
                        </w:r>
                        <w:r w:rsidRPr="008D4AA2">
                          <w:rPr>
                            <w:rFonts w:ascii="Arial" w:eastAsia="Times New Roman" w:hAnsi="Arial" w:cs="Arial"/>
                            <w:color w:val="505050"/>
                            <w:sz w:val="21"/>
                            <w:szCs w:val="21"/>
                          </w:rPr>
                          <w:t>). Currently, the ARP subsidizes 100% of premiums through Sept. 30, 2021 if you lost your job involuntarily</w:t>
                        </w:r>
                        <w:r w:rsidRPr="008D4AA2">
                          <w:rPr>
                            <w:rFonts w:ascii="Arial" w:eastAsia="Times New Roman" w:hAnsi="Arial" w:cs="Arial"/>
                            <w:color w:val="505050"/>
                            <w:sz w:val="21"/>
                            <w:szCs w:val="21"/>
                            <w:vertAlign w:val="superscript"/>
                          </w:rPr>
                          <w:t>2</w:t>
                        </w:r>
                        <w:r w:rsidRPr="008D4AA2">
                          <w:rPr>
                            <w:rFonts w:ascii="Arial" w:eastAsia="Times New Roman" w:hAnsi="Arial" w:cs="Arial"/>
                            <w:color w:val="505050"/>
                            <w:sz w:val="21"/>
                            <w:szCs w:val="21"/>
                          </w:rPr>
                          <w:t>. You can use the subsidized period to choose a more permanent form of health insurance, such as a policy from your state Health Insurance Marketplace.</w:t>
                        </w:r>
                      </w:p>
                      <w:p w14:paraId="37CBC81E" w14:textId="77777777" w:rsidR="008D4AA2" w:rsidRPr="008D4AA2" w:rsidRDefault="008D4AA2" w:rsidP="008D4AA2">
                        <w:pPr>
                          <w:spacing w:before="100" w:beforeAutospacing="1" w:after="100" w:afterAutospacing="1" w:line="240" w:lineRule="auto"/>
                          <w:rPr>
                            <w:rFonts w:ascii="Arial" w:eastAsia="Times New Roman" w:hAnsi="Arial" w:cs="Arial"/>
                            <w:color w:val="505050"/>
                            <w:sz w:val="21"/>
                            <w:szCs w:val="21"/>
                          </w:rPr>
                        </w:pPr>
                        <w:r w:rsidRPr="008D4AA2">
                          <w:rPr>
                            <w:rFonts w:ascii="Arial" w:eastAsia="Times New Roman" w:hAnsi="Arial" w:cs="Arial"/>
                            <w:color w:val="505050"/>
                            <w:sz w:val="21"/>
                            <w:szCs w:val="21"/>
                          </w:rPr>
                          <w:t>The Marketplace offers significant savings. If you lose your job, you usually have 60 days of open enrollment to sign up health insurance sold by a state’s Health Insurance</w:t>
                        </w:r>
                        <w:r w:rsidRPr="008D4AA2">
                          <w:rPr>
                            <w:rFonts w:ascii="Arial" w:eastAsia="Times New Roman" w:hAnsi="Arial" w:cs="Arial"/>
                            <w:color w:val="505050"/>
                            <w:sz w:val="21"/>
                            <w:szCs w:val="21"/>
                            <w:vertAlign w:val="superscript"/>
                          </w:rPr>
                          <w:t>3</w:t>
                        </w:r>
                        <w:r w:rsidRPr="008D4AA2">
                          <w:rPr>
                            <w:rFonts w:ascii="Arial" w:eastAsia="Times New Roman" w:hAnsi="Arial" w:cs="Arial"/>
                            <w:color w:val="505050"/>
                            <w:sz w:val="21"/>
                            <w:szCs w:val="21"/>
                          </w:rPr>
                          <w:t xml:space="preserve">. You may be eligible for tax credits to reduce your premiums and savings on out-of-pocket </w:t>
                        </w:r>
                        <w:r w:rsidRPr="008D4AA2">
                          <w:rPr>
                            <w:rFonts w:ascii="Arial" w:eastAsia="Times New Roman" w:hAnsi="Arial" w:cs="Arial"/>
                            <w:color w:val="505050"/>
                            <w:sz w:val="21"/>
                            <w:szCs w:val="21"/>
                          </w:rPr>
                          <w:lastRenderedPageBreak/>
                          <w:t>expenses, including deductibles and co-payments</w:t>
                        </w:r>
                        <w:r w:rsidRPr="008D4AA2">
                          <w:rPr>
                            <w:rFonts w:ascii="Arial" w:eastAsia="Times New Roman" w:hAnsi="Arial" w:cs="Arial"/>
                            <w:color w:val="505050"/>
                            <w:sz w:val="21"/>
                            <w:szCs w:val="21"/>
                            <w:vertAlign w:val="superscript"/>
                          </w:rPr>
                          <w:t>4</w:t>
                        </w:r>
                        <w:r w:rsidRPr="008D4AA2">
                          <w:rPr>
                            <w:rFonts w:ascii="Arial" w:eastAsia="Times New Roman" w:hAnsi="Arial" w:cs="Arial"/>
                            <w:color w:val="505050"/>
                            <w:sz w:val="21"/>
                            <w:szCs w:val="21"/>
                          </w:rPr>
                          <w:t>. Your savings are based on your income and household size, and if your income is low, you may pay a very small premium for your Marketplace insurance plan, especially with the increased subsidies provided by the ARP.</w:t>
                        </w:r>
                      </w:p>
                      <w:p w14:paraId="1FC8FEB7" w14:textId="77777777" w:rsidR="008D4AA2" w:rsidRPr="008D4AA2" w:rsidRDefault="008D4AA2" w:rsidP="008D4AA2">
                        <w:pPr>
                          <w:spacing w:before="100" w:beforeAutospacing="1" w:after="100" w:afterAutospacing="1" w:line="240" w:lineRule="auto"/>
                          <w:rPr>
                            <w:rFonts w:ascii="Arial" w:eastAsia="Times New Roman" w:hAnsi="Arial" w:cs="Arial"/>
                            <w:color w:val="505050"/>
                            <w:sz w:val="21"/>
                            <w:szCs w:val="21"/>
                          </w:rPr>
                        </w:pPr>
                        <w:r w:rsidRPr="008D4AA2">
                          <w:rPr>
                            <w:rFonts w:ascii="Arial" w:eastAsia="Times New Roman" w:hAnsi="Arial" w:cs="Arial"/>
                            <w:color w:val="505050"/>
                            <w:sz w:val="21"/>
                            <w:szCs w:val="21"/>
                          </w:rPr>
                          <w:t>Does your spouse have coverage? Some folks are lucky enough to have a spouse who is covered by a workplace health insurance plan. If you’re in this group, you may be able to join the plan as a dependent once you’ve lost your old insurance. Your household premiums will increase, but most of the extra cost will be absorbed by your spouse’s employer. Carefully examine all the explanatory materials to ensure you get the options that mean the most to you.</w:t>
                        </w:r>
                      </w:p>
                      <w:p w14:paraId="7CE087D2" w14:textId="77777777" w:rsidR="008D4AA2" w:rsidRPr="008D4AA2" w:rsidRDefault="008D4AA2" w:rsidP="008D4AA2">
                        <w:pPr>
                          <w:spacing w:before="100" w:beforeAutospacing="1" w:after="100" w:afterAutospacing="1" w:line="240" w:lineRule="auto"/>
                          <w:rPr>
                            <w:rFonts w:ascii="Arial" w:eastAsia="Times New Roman" w:hAnsi="Arial" w:cs="Arial"/>
                            <w:color w:val="505050"/>
                            <w:sz w:val="21"/>
                            <w:szCs w:val="21"/>
                          </w:rPr>
                        </w:pPr>
                        <w:r w:rsidRPr="008D4AA2">
                          <w:rPr>
                            <w:rFonts w:ascii="Arial" w:eastAsia="Times New Roman" w:hAnsi="Arial" w:cs="Arial"/>
                            <w:color w:val="505050"/>
                            <w:sz w:val="21"/>
                            <w:szCs w:val="21"/>
                          </w:rPr>
                          <w:t>You may qualify for CHIP. Even if you earn too much income to qualify for Medicaid, your children may be eligible for the Children’s Health Insurance Program</w:t>
                        </w:r>
                        <w:r w:rsidRPr="008D4AA2">
                          <w:rPr>
                            <w:rFonts w:ascii="Arial" w:eastAsia="Times New Roman" w:hAnsi="Arial" w:cs="Arial"/>
                            <w:color w:val="505050"/>
                            <w:sz w:val="21"/>
                            <w:szCs w:val="21"/>
                            <w:vertAlign w:val="superscript"/>
                          </w:rPr>
                          <w:t>5</w:t>
                        </w:r>
                        <w:r w:rsidRPr="008D4AA2">
                          <w:rPr>
                            <w:rFonts w:ascii="Arial" w:eastAsia="Times New Roman" w:hAnsi="Arial" w:cs="Arial"/>
                            <w:color w:val="505050"/>
                            <w:sz w:val="21"/>
                            <w:szCs w:val="21"/>
                          </w:rPr>
                          <w:t>. CHIP provides low-cost health insurance for children in families that may not be able to afford private health insurance. In most states, children up to age 19 are eligible for CHIP.</w:t>
                        </w:r>
                      </w:p>
                      <w:p w14:paraId="4CC77F38" w14:textId="77777777" w:rsidR="008D4AA2" w:rsidRPr="008D4AA2" w:rsidRDefault="008D4AA2" w:rsidP="008D4AA2">
                        <w:pPr>
                          <w:spacing w:before="100" w:beforeAutospacing="1" w:after="100" w:afterAutospacing="1" w:line="240" w:lineRule="auto"/>
                          <w:rPr>
                            <w:rFonts w:ascii="Arial" w:eastAsia="Times New Roman" w:hAnsi="Arial" w:cs="Arial"/>
                            <w:color w:val="505050"/>
                            <w:sz w:val="21"/>
                            <w:szCs w:val="21"/>
                          </w:rPr>
                        </w:pPr>
                        <w:r w:rsidRPr="008D4AA2">
                          <w:rPr>
                            <w:rFonts w:ascii="Arial" w:eastAsia="Times New Roman" w:hAnsi="Arial" w:cs="Arial"/>
                            <w:color w:val="505050"/>
                            <w:sz w:val="21"/>
                            <w:szCs w:val="21"/>
                          </w:rPr>
                          <w:t>Health insurance can’t wait. Illness and injuries can occur whether you’re currently working or not. It’s vital that you remain covered at all times, as the cost of healthcare can be astronomical. Contact me today to discuss how to adjust your plans when you lose your job or retire early. Good planning can help you respond to life’s challenges, planned or not, with options that address your financial (and physical) health.</w:t>
                        </w:r>
                      </w:p>
                      <w:tbl>
                        <w:tblPr>
                          <w:tblW w:w="5000" w:type="pct"/>
                          <w:tblCellSpacing w:w="0" w:type="dxa"/>
                          <w:tblCellMar>
                            <w:left w:w="0" w:type="dxa"/>
                            <w:right w:w="0" w:type="dxa"/>
                          </w:tblCellMar>
                          <w:tblLook w:val="04A0" w:firstRow="1" w:lastRow="0" w:firstColumn="1" w:lastColumn="0" w:noHBand="0" w:noVBand="1"/>
                        </w:tblPr>
                        <w:tblGrid>
                          <w:gridCol w:w="8400"/>
                        </w:tblGrid>
                        <w:tr w:rsidR="008D4AA2" w:rsidRPr="008D4AA2" w14:paraId="20A70704"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8D4AA2" w:rsidRPr="008D4AA2" w14:paraId="6DE8FCC6" w14:textId="77777777">
                                <w:trPr>
                                  <w:tblCellSpacing w:w="0" w:type="dxa"/>
                                  <w:jc w:val="center"/>
                                </w:trPr>
                                <w:tc>
                                  <w:tcPr>
                                    <w:tcW w:w="0" w:type="auto"/>
                                    <w:vAlign w:val="center"/>
                                    <w:hideMark/>
                                  </w:tcPr>
                                  <w:p w14:paraId="1C6871F8" w14:textId="77777777" w:rsidR="008D4AA2" w:rsidRPr="008D4AA2" w:rsidRDefault="008D4AA2" w:rsidP="008D4AA2">
                                    <w:pPr>
                                      <w:spacing w:after="0" w:line="240" w:lineRule="auto"/>
                                      <w:rPr>
                                        <w:rFonts w:ascii="Arial" w:eastAsia="Times New Roman" w:hAnsi="Arial" w:cs="Arial"/>
                                        <w:sz w:val="24"/>
                                        <w:szCs w:val="24"/>
                                      </w:rPr>
                                    </w:pPr>
                                    <w:hyperlink r:id="rId7" w:anchor="#AdvisorEmail##" w:tgtFrame="_blank" w:history="1">
                                      <w:r w:rsidRPr="008D4AA2">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E36354A" w14:textId="77777777" w:rsidR="008D4AA2" w:rsidRPr="008D4AA2" w:rsidRDefault="008D4AA2" w:rsidP="008D4AA2">
                              <w:pPr>
                                <w:spacing w:after="0" w:line="240" w:lineRule="auto"/>
                                <w:jc w:val="center"/>
                                <w:rPr>
                                  <w:rFonts w:ascii="Arial" w:eastAsia="Times New Roman" w:hAnsi="Arial" w:cs="Arial"/>
                                  <w:sz w:val="24"/>
                                  <w:szCs w:val="24"/>
                                </w:rPr>
                              </w:pPr>
                            </w:p>
                          </w:tc>
                        </w:tr>
                      </w:tbl>
                      <w:p w14:paraId="42C4E198" w14:textId="77777777" w:rsidR="008D4AA2" w:rsidRPr="008D4AA2" w:rsidRDefault="008D4AA2" w:rsidP="008D4AA2">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8D4AA2" w:rsidRPr="008D4AA2" w14:paraId="67DA28A2" w14:textId="77777777">
                          <w:trPr>
                            <w:tblCellSpacing w:w="0" w:type="dxa"/>
                          </w:trPr>
                          <w:tc>
                            <w:tcPr>
                              <w:tcW w:w="0" w:type="auto"/>
                              <w:hideMark/>
                            </w:tcPr>
                            <w:p w14:paraId="160F6674" w14:textId="77777777" w:rsidR="008D4AA2" w:rsidRPr="008D4AA2" w:rsidRDefault="008D4AA2" w:rsidP="008D4AA2">
                              <w:pPr>
                                <w:spacing w:before="100" w:beforeAutospacing="1" w:after="100" w:afterAutospacing="1" w:line="240" w:lineRule="auto"/>
                                <w:rPr>
                                  <w:rFonts w:ascii="Arial" w:eastAsia="Times New Roman" w:hAnsi="Arial" w:cs="Arial"/>
                                  <w:color w:val="707070"/>
                                  <w:sz w:val="18"/>
                                  <w:szCs w:val="18"/>
                                </w:rPr>
                              </w:pPr>
                              <w:r w:rsidRPr="008D4AA2">
                                <w:rPr>
                                  <w:rFonts w:ascii="Arial" w:eastAsia="Times New Roman" w:hAnsi="Arial" w:cs="Arial"/>
                                  <w:color w:val="707070"/>
                                  <w:sz w:val="18"/>
                                  <w:szCs w:val="18"/>
                                  <w:vertAlign w:val="superscript"/>
                                </w:rPr>
                                <w:t>1</w:t>
                              </w:r>
                              <w:r w:rsidRPr="008D4AA2">
                                <w:rPr>
                                  <w:rFonts w:ascii="Arial" w:eastAsia="Times New Roman" w:hAnsi="Arial" w:cs="Arial"/>
                                  <w:color w:val="707070"/>
                                  <w:sz w:val="18"/>
                                  <w:szCs w:val="18"/>
                                </w:rPr>
                                <w:t> </w:t>
                              </w:r>
                              <w:hyperlink r:id="rId8" w:tgtFrame="_blank" w:history="1">
                                <w:r w:rsidRPr="008D4AA2">
                                  <w:rPr>
                                    <w:rFonts w:ascii="Arial" w:eastAsia="Times New Roman" w:hAnsi="Arial" w:cs="Arial"/>
                                    <w:color w:val="707070"/>
                                    <w:sz w:val="18"/>
                                    <w:szCs w:val="18"/>
                                    <w:u w:val="single"/>
                                  </w:rPr>
                                  <w:t>peoplekeep.com/blog/what-percent-of-health-insurance-is-paid-by-employers#</w:t>
                                </w:r>
                              </w:hyperlink>
                              <w:r w:rsidRPr="008D4AA2">
                                <w:rPr>
                                  <w:rFonts w:ascii="Arial" w:eastAsia="Times New Roman" w:hAnsi="Arial" w:cs="Arial"/>
                                  <w:color w:val="707070"/>
                                  <w:sz w:val="18"/>
                                  <w:szCs w:val="18"/>
                                </w:rPr>
                                <w:t> [8/12/20]</w:t>
                              </w:r>
                              <w:r w:rsidRPr="008D4AA2">
                                <w:rPr>
                                  <w:rFonts w:ascii="Arial" w:eastAsia="Times New Roman" w:hAnsi="Arial" w:cs="Arial"/>
                                  <w:color w:val="707070"/>
                                  <w:sz w:val="18"/>
                                  <w:szCs w:val="18"/>
                                </w:rPr>
                                <w:br/>
                              </w:r>
                              <w:r w:rsidRPr="008D4AA2">
                                <w:rPr>
                                  <w:rFonts w:ascii="Arial" w:eastAsia="Times New Roman" w:hAnsi="Arial" w:cs="Arial"/>
                                  <w:color w:val="707070"/>
                                  <w:sz w:val="18"/>
                                  <w:szCs w:val="18"/>
                                  <w:vertAlign w:val="superscript"/>
                                </w:rPr>
                                <w:t>2</w:t>
                              </w:r>
                              <w:r w:rsidRPr="008D4AA2">
                                <w:rPr>
                                  <w:rFonts w:ascii="Arial" w:eastAsia="Times New Roman" w:hAnsi="Arial" w:cs="Arial"/>
                                  <w:color w:val="707070"/>
                                  <w:sz w:val="18"/>
                                  <w:szCs w:val="18"/>
                                </w:rPr>
                                <w:t> </w:t>
                              </w:r>
                              <w:hyperlink r:id="rId9" w:tgtFrame="_blank" w:history="1">
                                <w:r w:rsidRPr="008D4AA2">
                                  <w:rPr>
                                    <w:rFonts w:ascii="Arial" w:eastAsia="Times New Roman" w:hAnsi="Arial" w:cs="Arial"/>
                                    <w:color w:val="707070"/>
                                    <w:sz w:val="18"/>
                                    <w:szCs w:val="18"/>
                                    <w:u w:val="single"/>
                                  </w:rPr>
                                  <w:t>dol.gov/general/</w:t>
                                </w:r>
                                <w:proofErr w:type="spellStart"/>
                                <w:r w:rsidRPr="008D4AA2">
                                  <w:rPr>
                                    <w:rFonts w:ascii="Arial" w:eastAsia="Times New Roman" w:hAnsi="Arial" w:cs="Arial"/>
                                    <w:color w:val="707070"/>
                                    <w:sz w:val="18"/>
                                    <w:szCs w:val="18"/>
                                    <w:u w:val="single"/>
                                  </w:rPr>
                                  <w:t>american</w:t>
                                </w:r>
                                <w:proofErr w:type="spellEnd"/>
                                <w:r w:rsidRPr="008D4AA2">
                                  <w:rPr>
                                    <w:rFonts w:ascii="Arial" w:eastAsia="Times New Roman" w:hAnsi="Arial" w:cs="Arial"/>
                                    <w:color w:val="707070"/>
                                    <w:sz w:val="18"/>
                                    <w:szCs w:val="18"/>
                                    <w:u w:val="single"/>
                                  </w:rPr>
                                  <w:t>-rescue-plan</w:t>
                                </w:r>
                              </w:hyperlink>
                              <w:r w:rsidRPr="008D4AA2">
                                <w:rPr>
                                  <w:rFonts w:ascii="Arial" w:eastAsia="Times New Roman" w:hAnsi="Arial" w:cs="Arial"/>
                                  <w:color w:val="707070"/>
                                  <w:sz w:val="18"/>
                                  <w:szCs w:val="18"/>
                                </w:rPr>
                                <w:br/>
                              </w:r>
                              <w:r w:rsidRPr="008D4AA2">
                                <w:rPr>
                                  <w:rFonts w:ascii="Arial" w:eastAsia="Times New Roman" w:hAnsi="Arial" w:cs="Arial"/>
                                  <w:color w:val="707070"/>
                                  <w:sz w:val="18"/>
                                  <w:szCs w:val="18"/>
                                  <w:vertAlign w:val="superscript"/>
                                </w:rPr>
                                <w:t>3</w:t>
                              </w:r>
                              <w:r w:rsidRPr="008D4AA2">
                                <w:rPr>
                                  <w:rFonts w:ascii="Arial" w:eastAsia="Times New Roman" w:hAnsi="Arial" w:cs="Arial"/>
                                  <w:color w:val="707070"/>
                                  <w:sz w:val="18"/>
                                  <w:szCs w:val="18"/>
                                </w:rPr>
                                <w:t> </w:t>
                              </w:r>
                              <w:hyperlink r:id="rId10" w:tgtFrame="_blank" w:history="1">
                                <w:r w:rsidRPr="008D4AA2">
                                  <w:rPr>
                                    <w:rFonts w:ascii="Arial" w:eastAsia="Times New Roman" w:hAnsi="Arial" w:cs="Arial"/>
                                    <w:color w:val="707070"/>
                                    <w:sz w:val="18"/>
                                    <w:szCs w:val="18"/>
                                    <w:u w:val="single"/>
                                  </w:rPr>
                                  <w:t>healthcare.gov/coverage-outside-open-enrollment/special-enrollment-period/</w:t>
                                </w:r>
                              </w:hyperlink>
                              <w:r w:rsidRPr="008D4AA2">
                                <w:rPr>
                                  <w:rFonts w:ascii="Arial" w:eastAsia="Times New Roman" w:hAnsi="Arial" w:cs="Arial"/>
                                  <w:color w:val="707070"/>
                                  <w:sz w:val="18"/>
                                  <w:szCs w:val="18"/>
                                </w:rPr>
                                <w:br/>
                              </w:r>
                              <w:r w:rsidRPr="008D4AA2">
                                <w:rPr>
                                  <w:rFonts w:ascii="Arial" w:eastAsia="Times New Roman" w:hAnsi="Arial" w:cs="Arial"/>
                                  <w:color w:val="707070"/>
                                  <w:sz w:val="18"/>
                                  <w:szCs w:val="18"/>
                                  <w:vertAlign w:val="superscript"/>
                                </w:rPr>
                                <w:t>4</w:t>
                              </w:r>
                              <w:r w:rsidRPr="008D4AA2">
                                <w:rPr>
                                  <w:rFonts w:ascii="Arial" w:eastAsia="Times New Roman" w:hAnsi="Arial" w:cs="Arial"/>
                                  <w:color w:val="707070"/>
                                  <w:sz w:val="18"/>
                                  <w:szCs w:val="18"/>
                                </w:rPr>
                                <w:t> </w:t>
                              </w:r>
                              <w:hyperlink r:id="rId11" w:tgtFrame="_blank" w:history="1">
                                <w:r w:rsidRPr="008D4AA2">
                                  <w:rPr>
                                    <w:rFonts w:ascii="Arial" w:eastAsia="Times New Roman" w:hAnsi="Arial" w:cs="Arial"/>
                                    <w:color w:val="707070"/>
                                    <w:sz w:val="18"/>
                                    <w:szCs w:val="18"/>
                                    <w:u w:val="single"/>
                                  </w:rPr>
                                  <w:t>healthcare.gov/more-savings/</w:t>
                                </w:r>
                              </w:hyperlink>
                              <w:r w:rsidRPr="008D4AA2">
                                <w:rPr>
                                  <w:rFonts w:ascii="Arial" w:eastAsia="Times New Roman" w:hAnsi="Arial" w:cs="Arial"/>
                                  <w:color w:val="707070"/>
                                  <w:sz w:val="18"/>
                                  <w:szCs w:val="18"/>
                                </w:rPr>
                                <w:br/>
                              </w:r>
                              <w:r w:rsidRPr="008D4AA2">
                                <w:rPr>
                                  <w:rFonts w:ascii="Arial" w:eastAsia="Times New Roman" w:hAnsi="Arial" w:cs="Arial"/>
                                  <w:color w:val="707070"/>
                                  <w:sz w:val="18"/>
                                  <w:szCs w:val="18"/>
                                  <w:vertAlign w:val="superscript"/>
                                </w:rPr>
                                <w:t>5</w:t>
                              </w:r>
                              <w:r w:rsidRPr="008D4AA2">
                                <w:rPr>
                                  <w:rFonts w:ascii="Arial" w:eastAsia="Times New Roman" w:hAnsi="Arial" w:cs="Arial"/>
                                  <w:color w:val="707070"/>
                                  <w:sz w:val="18"/>
                                  <w:szCs w:val="18"/>
                                </w:rPr>
                                <w:t> </w:t>
                              </w:r>
                              <w:hyperlink r:id="rId12" w:tgtFrame="_blank" w:history="1">
                                <w:r w:rsidRPr="008D4AA2">
                                  <w:rPr>
                                    <w:rFonts w:ascii="Arial" w:eastAsia="Times New Roman" w:hAnsi="Arial" w:cs="Arial"/>
                                    <w:color w:val="707070"/>
                                    <w:sz w:val="18"/>
                                    <w:szCs w:val="18"/>
                                    <w:u w:val="single"/>
                                  </w:rPr>
                                  <w:t>healthcare.gov/medicaid-chip/childrens-health-insurance-program/</w:t>
                                </w:r>
                              </w:hyperlink>
                              <w:r w:rsidRPr="008D4AA2">
                                <w:rPr>
                                  <w:rFonts w:ascii="Arial" w:eastAsia="Times New Roman" w:hAnsi="Arial" w:cs="Arial"/>
                                  <w:color w:val="707070"/>
                                  <w:sz w:val="18"/>
                                  <w:szCs w:val="18"/>
                                </w:rPr>
                                <w:br/>
                              </w:r>
                              <w:r w:rsidRPr="008D4AA2">
                                <w:rPr>
                                  <w:rFonts w:ascii="Arial" w:eastAsia="Times New Roman" w:hAnsi="Arial" w:cs="Arial"/>
                                  <w:color w:val="707070"/>
                                  <w:sz w:val="18"/>
                                  <w:szCs w:val="18"/>
                                </w:rPr>
                                <w:br/>
                                <w:t>Tracking #1-05168605</w:t>
                              </w:r>
                              <w:r w:rsidRPr="008D4AA2">
                                <w:rPr>
                                  <w:rFonts w:ascii="Arial" w:eastAsia="Times New Roman" w:hAnsi="Arial" w:cs="Arial"/>
                                  <w:color w:val="707070"/>
                                  <w:sz w:val="18"/>
                                  <w:szCs w:val="18"/>
                                </w:rPr>
                                <w:br/>
                                <w:t>Expiration 07/24</w:t>
                              </w:r>
                            </w:p>
                          </w:tc>
                        </w:tr>
                      </w:tbl>
                      <w:p w14:paraId="3755CD68" w14:textId="77777777" w:rsidR="008D4AA2" w:rsidRPr="008D4AA2" w:rsidRDefault="008D4AA2" w:rsidP="008D4AA2">
                        <w:pPr>
                          <w:spacing w:after="0" w:line="240" w:lineRule="auto"/>
                          <w:rPr>
                            <w:rFonts w:ascii="Arial" w:eastAsia="Times New Roman" w:hAnsi="Arial" w:cs="Arial"/>
                            <w:color w:val="505050"/>
                            <w:sz w:val="21"/>
                            <w:szCs w:val="21"/>
                          </w:rPr>
                        </w:pPr>
                      </w:p>
                    </w:tc>
                  </w:tr>
                </w:tbl>
                <w:p w14:paraId="69765B45" w14:textId="77777777" w:rsidR="008D4AA2" w:rsidRPr="008D4AA2" w:rsidRDefault="008D4AA2" w:rsidP="008D4AA2">
                  <w:pPr>
                    <w:spacing w:after="0" w:line="240" w:lineRule="auto"/>
                    <w:rPr>
                      <w:rFonts w:ascii="Arial" w:eastAsia="Times New Roman" w:hAnsi="Arial" w:cs="Arial"/>
                      <w:sz w:val="24"/>
                      <w:szCs w:val="24"/>
                    </w:rPr>
                  </w:pPr>
                </w:p>
              </w:tc>
            </w:tr>
          </w:tbl>
          <w:p w14:paraId="7AA158E1" w14:textId="77777777" w:rsidR="008D4AA2" w:rsidRPr="008D4AA2" w:rsidRDefault="008D4AA2" w:rsidP="008D4AA2">
            <w:pPr>
              <w:spacing w:after="0" w:line="240" w:lineRule="auto"/>
              <w:jc w:val="center"/>
              <w:rPr>
                <w:rFonts w:ascii="Arial" w:eastAsia="Times New Roman" w:hAnsi="Arial" w:cs="Arial"/>
                <w:sz w:val="24"/>
                <w:szCs w:val="24"/>
              </w:rPr>
            </w:pPr>
          </w:p>
        </w:tc>
      </w:tr>
    </w:tbl>
    <w:p w14:paraId="6CDD012C" w14:textId="77777777" w:rsidR="009E06E8" w:rsidRDefault="009E06E8"/>
    <w:sectPr w:rsidR="009E0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A2"/>
    <w:rsid w:val="008D4AA2"/>
    <w:rsid w:val="009E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AE3F"/>
  <w15:chartTrackingRefBased/>
  <w15:docId w15:val="{2F5CEEE8-3BC5-4670-AD42-EB3024B7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4A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4A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A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4A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D4AA2"/>
    <w:rPr>
      <w:color w:val="0000FF"/>
      <w:u w:val="single"/>
    </w:rPr>
  </w:style>
  <w:style w:type="paragraph" w:styleId="NormalWeb">
    <w:name w:val="Normal (Web)"/>
    <w:basedOn w:val="Normal"/>
    <w:uiPriority w:val="99"/>
    <w:semiHidden/>
    <w:unhideWhenUsed/>
    <w:rsid w:val="008D4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oplekeep.com/blog/what-percent-of-health-insurance-is-paid-by-employ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hyperlink" Target="https://www.healthcare.gov/medicaid-chip/childrens-health-insurance-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healthcare.gov/more-savings/" TargetMode="External"/><Relationship Id="rId5" Type="http://schemas.openxmlformats.org/officeDocument/2006/relationships/image" Target="media/image1.png"/><Relationship Id="rId10" Type="http://schemas.openxmlformats.org/officeDocument/2006/relationships/hyperlink" Target="https://www.healthcare.gov/coverage-outside-open-enrollment/special-enrollment-period/" TargetMode="Externa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dol.gov/general/american-rescue-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2021-12-28T14:34:00Z</dcterms:created>
  <dcterms:modified xsi:type="dcterms:W3CDTF">2021-12-28T14:34:00Z</dcterms:modified>
</cp:coreProperties>
</file>