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6212A3" w14:paraId="50D94B32" w14:textId="77777777" w:rsidTr="006212A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212A3" w14:paraId="2AA69373" w14:textId="77777777">
              <w:trPr>
                <w:trHeight w:val="1800"/>
                <w:tblCellSpacing w:w="0" w:type="dxa"/>
                <w:jc w:val="center"/>
              </w:trPr>
              <w:tc>
                <w:tcPr>
                  <w:tcW w:w="5250" w:type="dxa"/>
                  <w:vAlign w:val="center"/>
                  <w:hideMark/>
                </w:tcPr>
                <w:p w14:paraId="540A4FDC" w14:textId="5FC4D5C1" w:rsidR="006212A3" w:rsidRDefault="006212A3">
                  <w:pPr>
                    <w:jc w:val="center"/>
                  </w:pPr>
                  <w:r>
                    <w:rPr>
                      <w:noProof/>
                      <w:color w:val="0000FF"/>
                    </w:rPr>
                    <w:drawing>
                      <wp:inline distT="0" distB="0" distL="0" distR="0" wp14:anchorId="7A88FEE4" wp14:editId="4CC5EA93">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373652A" w14:textId="77777777" w:rsidR="006212A3" w:rsidRDefault="006212A3">
            <w:pPr>
              <w:jc w:val="center"/>
              <w:rPr>
                <w:rFonts w:ascii="Arial" w:hAnsi="Arial" w:cs="Arial"/>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6212A3" w14:paraId="5A4C9326" w14:textId="77777777">
              <w:trPr>
                <w:jc w:val="center"/>
              </w:trPr>
              <w:tc>
                <w:tcPr>
                  <w:tcW w:w="0" w:type="auto"/>
                  <w:shd w:val="clear" w:color="auto" w:fill="FFFFFF"/>
                  <w:vAlign w:val="center"/>
                  <w:hideMark/>
                </w:tcPr>
                <w:p w14:paraId="0CFCD38D" w14:textId="3C6B1FED" w:rsidR="006212A3" w:rsidRDefault="006212A3">
                  <w:pPr>
                    <w:spacing w:line="510" w:lineRule="atLeast"/>
                    <w:jc w:val="center"/>
                    <w:rPr>
                      <w:rFonts w:ascii="Arial" w:hAnsi="Arial" w:cs="Arial"/>
                      <w:b/>
                      <w:bCs/>
                      <w:color w:val="202020"/>
                      <w:sz w:val="51"/>
                      <w:szCs w:val="51"/>
                    </w:rPr>
                  </w:pPr>
                  <w:r>
                    <w:rPr>
                      <w:rFonts w:ascii="Arial" w:hAnsi="Arial" w:cs="Arial"/>
                      <w:b/>
                      <w:bCs/>
                      <w:noProof/>
                      <w:color w:val="202020"/>
                      <w:sz w:val="51"/>
                      <w:szCs w:val="51"/>
                    </w:rPr>
                    <w:drawing>
                      <wp:inline distT="0" distB="0" distL="0" distR="0" wp14:anchorId="74A75F92" wp14:editId="2A70975A">
                        <wp:extent cx="5943600" cy="2145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46B60B38" w14:textId="77777777" w:rsidR="006212A3" w:rsidRDefault="006212A3">
            <w:pPr>
              <w:spacing w:line="240" w:lineRule="auto"/>
              <w:jc w:val="center"/>
              <w:rPr>
                <w:rFonts w:ascii="Arial" w:hAnsi="Arial" w:cs="Arial"/>
                <w:sz w:val="24"/>
                <w:szCs w:val="24"/>
              </w:rPr>
            </w:pPr>
          </w:p>
        </w:tc>
      </w:tr>
      <w:tr w:rsidR="006212A3" w14:paraId="6BEE8A2A" w14:textId="77777777" w:rsidTr="006212A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212A3" w14:paraId="63A038A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212A3" w14:paraId="1827B2F4" w14:textId="77777777">
                    <w:tc>
                      <w:tcPr>
                        <w:tcW w:w="0" w:type="auto"/>
                        <w:hideMark/>
                      </w:tcPr>
                      <w:p w14:paraId="3B268D90" w14:textId="77777777" w:rsidR="006212A3" w:rsidRDefault="006212A3">
                        <w:pPr>
                          <w:pStyle w:val="Heading1"/>
                          <w:spacing w:before="0" w:beforeAutospacing="0" w:after="0" w:afterAutospacing="0" w:line="527" w:lineRule="atLeast"/>
                          <w:rPr>
                            <w:rFonts w:ascii="Helvetica" w:hAnsi="Helvetica" w:cs="Helvetica"/>
                            <w:color w:val="626262"/>
                            <w:sz w:val="41"/>
                            <w:szCs w:val="41"/>
                          </w:rPr>
                        </w:pPr>
                        <w:r>
                          <w:rPr>
                            <w:rFonts w:ascii="Helvetica" w:hAnsi="Helvetica" w:cs="Helvetica"/>
                            <w:color w:val="626262"/>
                            <w:sz w:val="41"/>
                            <w:szCs w:val="41"/>
                          </w:rPr>
                          <w:t>Breaking Down the Real Costs of Purchasing a Home</w:t>
                        </w:r>
                      </w:p>
                      <w:p w14:paraId="5111A354" w14:textId="77777777" w:rsidR="006212A3" w:rsidRDefault="006212A3">
                        <w:pPr>
                          <w:pStyle w:val="Heading3"/>
                          <w:rPr>
                            <w:rFonts w:ascii="Helvetica" w:hAnsi="Helvetica" w:cs="Helvetica"/>
                            <w:color w:val="505050"/>
                            <w:sz w:val="24"/>
                            <w:szCs w:val="24"/>
                          </w:rPr>
                        </w:pPr>
                        <w:r>
                          <w:rPr>
                            <w:rFonts w:ascii="Helvetica" w:hAnsi="Helvetica" w:cs="Helvetica"/>
                            <w:color w:val="505050"/>
                            <w:sz w:val="24"/>
                            <w:szCs w:val="24"/>
                          </w:rPr>
                          <w:t>You’re finally ready to move up from your rental unit to your own home. Before you start searching for a home, understand how much money you’ll really need. Be prepared for the myriad expenses that you must add to the purchase price to see the whole picture.</w:t>
                        </w:r>
                      </w:p>
                      <w:p w14:paraId="2CB3BB70" w14:textId="77777777" w:rsidR="006212A3" w:rsidRDefault="006212A3">
                        <w:pPr>
                          <w:pStyle w:val="NormalWeb"/>
                          <w:rPr>
                            <w:rFonts w:ascii="Arial" w:hAnsi="Arial" w:cs="Arial"/>
                            <w:color w:val="505050"/>
                            <w:sz w:val="21"/>
                            <w:szCs w:val="21"/>
                          </w:rPr>
                        </w:pPr>
                        <w:r>
                          <w:rPr>
                            <w:rFonts w:ascii="Arial" w:hAnsi="Arial" w:cs="Arial"/>
                            <w:color w:val="505050"/>
                            <w:sz w:val="21"/>
                            <w:szCs w:val="21"/>
                          </w:rPr>
                          <w:t>Home ownership has several advantages over renting, including lower monthly payments, deductible mortgage interest, and the accumulation of equity. But there is a definite price to pay for these benefits, including the expenses we detail here.</w:t>
                        </w:r>
                      </w:p>
                      <w:p w14:paraId="062A7D13" w14:textId="77777777" w:rsidR="006212A3" w:rsidRDefault="006212A3">
                        <w:pPr>
                          <w:pStyle w:val="NormalWeb"/>
                          <w:rPr>
                            <w:rFonts w:ascii="Arial" w:hAnsi="Arial" w:cs="Arial"/>
                            <w:color w:val="505050"/>
                            <w:sz w:val="21"/>
                            <w:szCs w:val="21"/>
                          </w:rPr>
                        </w:pPr>
                        <w:r>
                          <w:rPr>
                            <w:rStyle w:val="Strong"/>
                            <w:rFonts w:ascii="Arial" w:hAnsi="Arial" w:cs="Arial"/>
                            <w:color w:val="505050"/>
                            <w:sz w:val="21"/>
                            <w:szCs w:val="21"/>
                          </w:rPr>
                          <w:t>The biggest spend is your initial equity.</w:t>
                        </w:r>
                        <w:r>
                          <w:rPr>
                            <w:rFonts w:ascii="Arial" w:hAnsi="Arial" w:cs="Arial"/>
                            <w:color w:val="505050"/>
                            <w:sz w:val="21"/>
                            <w:szCs w:val="21"/>
                          </w:rPr>
                          <w:t> There are two costs that constitute the beginning equity in your home. The first is earnest money, typically $500 to $2,</w:t>
                        </w:r>
                        <w:proofErr w:type="gramStart"/>
                        <w:r>
                          <w:rPr>
                            <w:rFonts w:ascii="Arial" w:hAnsi="Arial" w:cs="Arial"/>
                            <w:color w:val="505050"/>
                            <w:sz w:val="21"/>
                            <w:szCs w:val="21"/>
                          </w:rPr>
                          <w:t>000</w:t>
                        </w:r>
                        <w:r>
                          <w:rPr>
                            <w:rFonts w:ascii="Arial" w:hAnsi="Arial" w:cs="Arial"/>
                            <w:color w:val="505050"/>
                            <w:sz w:val="21"/>
                            <w:szCs w:val="21"/>
                            <w:vertAlign w:val="superscript"/>
                          </w:rPr>
                          <w:t>1</w:t>
                        </w:r>
                        <w:r>
                          <w:rPr>
                            <w:rFonts w:ascii="Arial" w:hAnsi="Arial" w:cs="Arial"/>
                            <w:color w:val="505050"/>
                            <w:sz w:val="21"/>
                            <w:szCs w:val="21"/>
                          </w:rPr>
                          <w:t> ,</w:t>
                        </w:r>
                        <w:proofErr w:type="gramEnd"/>
                        <w:r>
                          <w:rPr>
                            <w:rFonts w:ascii="Arial" w:hAnsi="Arial" w:cs="Arial"/>
                            <w:color w:val="505050"/>
                            <w:sz w:val="21"/>
                            <w:szCs w:val="21"/>
                          </w:rPr>
                          <w:t xml:space="preserve"> that ensures your commitment to the deal. You can get a refund if the deal falls through due to no fault of your own. The other initial spend is your down payment, which typically ranges from 3.5 to 20%. You make the down payment at the closing. Your mortgage covers the difference between the purchase price and the initial equity.</w:t>
                        </w:r>
                      </w:p>
                      <w:p w14:paraId="270CFD06" w14:textId="77777777" w:rsidR="006212A3" w:rsidRDefault="006212A3">
                        <w:pPr>
                          <w:pStyle w:val="NormalWeb"/>
                          <w:rPr>
                            <w:rFonts w:ascii="Arial" w:hAnsi="Arial" w:cs="Arial"/>
                            <w:color w:val="505050"/>
                            <w:sz w:val="21"/>
                            <w:szCs w:val="21"/>
                          </w:rPr>
                        </w:pPr>
                        <w:r>
                          <w:rPr>
                            <w:rStyle w:val="Strong"/>
                            <w:rFonts w:ascii="Arial" w:hAnsi="Arial" w:cs="Arial"/>
                            <w:color w:val="505050"/>
                            <w:sz w:val="21"/>
                            <w:szCs w:val="21"/>
                          </w:rPr>
                          <w:t>Fees, fees, fees.</w:t>
                        </w:r>
                        <w:r>
                          <w:rPr>
                            <w:rFonts w:ascii="Arial" w:hAnsi="Arial" w:cs="Arial"/>
                            <w:color w:val="505050"/>
                            <w:sz w:val="21"/>
                            <w:szCs w:val="21"/>
                          </w:rPr>
                          <w:t> It seems like every time you turn around, you’ll encounter another fee. Sellers typically pay the broker’s fee, but if you use a buying agent, expect to pay up to 3%</w:t>
                        </w:r>
                        <w:r>
                          <w:rPr>
                            <w:rFonts w:ascii="Arial" w:hAnsi="Arial" w:cs="Arial"/>
                            <w:color w:val="505050"/>
                            <w:sz w:val="21"/>
                            <w:szCs w:val="21"/>
                            <w:vertAlign w:val="superscript"/>
                          </w:rPr>
                          <w:t>2</w:t>
                        </w:r>
                        <w:r>
                          <w:rPr>
                            <w:rFonts w:ascii="Arial" w:hAnsi="Arial" w:cs="Arial"/>
                            <w:color w:val="505050"/>
                            <w:sz w:val="21"/>
                            <w:szCs w:val="21"/>
                          </w:rPr>
                          <w:t xml:space="preserve"> of the purchase price. Frequently, mortgage lenders charge an origination fee up to about 1% for the privilege of lending </w:t>
                        </w:r>
                        <w:proofErr w:type="gramStart"/>
                        <w:r>
                          <w:rPr>
                            <w:rFonts w:ascii="Arial" w:hAnsi="Arial" w:cs="Arial"/>
                            <w:color w:val="505050"/>
                            <w:sz w:val="21"/>
                            <w:szCs w:val="21"/>
                          </w:rPr>
                          <w:t>you</w:t>
                        </w:r>
                        <w:proofErr w:type="gramEnd"/>
                        <w:r>
                          <w:rPr>
                            <w:rFonts w:ascii="Arial" w:hAnsi="Arial" w:cs="Arial"/>
                            <w:color w:val="505050"/>
                            <w:sz w:val="21"/>
                            <w:szCs w:val="21"/>
                          </w:rPr>
                          <w:t xml:space="preserve"> money. You’ll encounter various other fees, such as those for inspections and surveys. Often, you’ll be asked to pay points, which is prepaid </w:t>
                        </w:r>
                        <w:r>
                          <w:rPr>
                            <w:rFonts w:ascii="Arial" w:hAnsi="Arial" w:cs="Arial"/>
                            <w:color w:val="505050"/>
                            <w:sz w:val="21"/>
                            <w:szCs w:val="21"/>
                          </w:rPr>
                          <w:lastRenderedPageBreak/>
                          <w:t>interest on the mortgage loan</w:t>
                        </w:r>
                        <w:r>
                          <w:rPr>
                            <w:rFonts w:ascii="Arial" w:hAnsi="Arial" w:cs="Arial"/>
                            <w:color w:val="505050"/>
                            <w:sz w:val="21"/>
                            <w:szCs w:val="21"/>
                            <w:vertAlign w:val="superscript"/>
                          </w:rPr>
                          <w:t>3</w:t>
                        </w:r>
                        <w:r>
                          <w:rPr>
                            <w:rFonts w:ascii="Arial" w:hAnsi="Arial" w:cs="Arial"/>
                            <w:color w:val="505050"/>
                            <w:sz w:val="21"/>
                            <w:szCs w:val="21"/>
                          </w:rPr>
                          <w:t>. Other fees may be charged by a homeowner’s association, a title company, the recorder of deeds, and others.</w:t>
                        </w:r>
                      </w:p>
                      <w:p w14:paraId="38538EB8" w14:textId="77777777" w:rsidR="006212A3" w:rsidRDefault="006212A3">
                        <w:pPr>
                          <w:pStyle w:val="NormalWeb"/>
                          <w:rPr>
                            <w:rFonts w:ascii="Arial" w:hAnsi="Arial" w:cs="Arial"/>
                            <w:color w:val="505050"/>
                            <w:sz w:val="21"/>
                            <w:szCs w:val="21"/>
                          </w:rPr>
                        </w:pPr>
                        <w:r>
                          <w:rPr>
                            <w:rStyle w:val="Strong"/>
                            <w:rFonts w:ascii="Arial" w:hAnsi="Arial" w:cs="Arial"/>
                            <w:color w:val="505050"/>
                            <w:sz w:val="21"/>
                            <w:szCs w:val="21"/>
                          </w:rPr>
                          <w:t>Don’t forget the insurance and taxes.</w:t>
                        </w:r>
                        <w:r>
                          <w:rPr>
                            <w:rFonts w:ascii="Arial" w:hAnsi="Arial" w:cs="Arial"/>
                            <w:color w:val="505050"/>
                            <w:sz w:val="21"/>
                            <w:szCs w:val="21"/>
                          </w:rPr>
                          <w:t> You won’t be able to get a mortgage without first getting homeowner’s insurance, with an average annual premium of approximately $1,200. You may also need flood insurance, based upon your location. Many lenders require you buy private mortgage insurance at an annual cost of 0.5 to 1.0 percent if your down payment is below 20 percent. You may also want to buy title insurance to ensure you have clear title to the property. Many folks purchase title-lock insurance to cover losses from mortgage fraud due to identity theft.</w:t>
                        </w:r>
                      </w:p>
                      <w:p w14:paraId="789703E1" w14:textId="77777777" w:rsidR="006212A3" w:rsidRDefault="006212A3">
                        <w:pPr>
                          <w:pStyle w:val="NormalWeb"/>
                          <w:rPr>
                            <w:rFonts w:ascii="Arial" w:hAnsi="Arial" w:cs="Arial"/>
                            <w:color w:val="505050"/>
                            <w:sz w:val="21"/>
                            <w:szCs w:val="21"/>
                          </w:rPr>
                        </w:pPr>
                        <w:r>
                          <w:rPr>
                            <w:rStyle w:val="Strong"/>
                            <w:rFonts w:ascii="Arial" w:hAnsi="Arial" w:cs="Arial"/>
                            <w:color w:val="505050"/>
                            <w:sz w:val="21"/>
                            <w:szCs w:val="21"/>
                          </w:rPr>
                          <w:t>Figure move-in costs and initial repairs.</w:t>
                        </w:r>
                        <w:r>
                          <w:rPr>
                            <w:rFonts w:ascii="Arial" w:hAnsi="Arial" w:cs="Arial"/>
                            <w:color w:val="505050"/>
                            <w:sz w:val="21"/>
                            <w:szCs w:val="21"/>
                          </w:rPr>
                          <w:t> Unless you do it yourself, it may cost you several thousand dollars to engage a moving service – the cost depends on the distance to the new property and how much stuff is being moved. In addition, you may face immediate repair expenses for problems that the seller has not agreed to fix before closing. Expensive repairs can include a new roof, new HVAC, structural changes, expansions, landscaping, etc. You may also have to pay a fee for a building permit. The worst-case scenario involves necessary, unexpected repairs not identified in the engineer’s inspection report.</w:t>
                        </w:r>
                      </w:p>
                      <w:p w14:paraId="547CC32D" w14:textId="77777777" w:rsidR="006212A3" w:rsidRDefault="006212A3">
                        <w:pPr>
                          <w:pStyle w:val="NormalWeb"/>
                          <w:rPr>
                            <w:rFonts w:ascii="Arial" w:hAnsi="Arial" w:cs="Arial"/>
                            <w:color w:val="505050"/>
                            <w:sz w:val="21"/>
                            <w:szCs w:val="21"/>
                          </w:rPr>
                        </w:pPr>
                        <w:r>
                          <w:rPr>
                            <w:rStyle w:val="Strong"/>
                            <w:rFonts w:ascii="Arial" w:hAnsi="Arial" w:cs="Arial"/>
                            <w:color w:val="505050"/>
                            <w:sz w:val="21"/>
                            <w:szCs w:val="21"/>
                          </w:rPr>
                          <w:t>Buying your first home is an enormous step.</w:t>
                        </w:r>
                        <w:r>
                          <w:rPr>
                            <w:rFonts w:ascii="Arial" w:hAnsi="Arial" w:cs="Arial"/>
                            <w:color w:val="505050"/>
                            <w:sz w:val="21"/>
                            <w:szCs w:val="21"/>
                          </w:rPr>
                          <w:t> That’s why it’s essential to have your finances in order first. A well-rounded financial plan will show you how much home you can afford without shortchanging your retirement and other life events. Contact me today to review your financial plan and ensure you are on solid ground before making an expensive commitment. Together, we can find the financial comfort zone for your home purchase.</w:t>
                        </w:r>
                      </w:p>
                      <w:p w14:paraId="515879AD" w14:textId="77777777" w:rsidR="006212A3" w:rsidRDefault="006212A3">
                        <w:pPr>
                          <w:pStyle w:val="NormalWeb"/>
                          <w:rPr>
                            <w:rFonts w:ascii="Arial" w:hAnsi="Arial" w:cs="Arial"/>
                            <w:color w:val="505050"/>
                            <w:sz w:val="21"/>
                            <w:szCs w:val="21"/>
                          </w:rPr>
                        </w:pPr>
                        <w:r>
                          <w:rPr>
                            <w:rFonts w:ascii="Arial" w:hAnsi="Arial" w:cs="Arial"/>
                            <w:color w:val="505050"/>
                            <w:sz w:val="21"/>
                            <w:szCs w:val="21"/>
                          </w:rPr>
                          <w:t>LPL Financial Professionals do not offer mortgage or lending services. We suggest that you contact a mortgage or lending professional regarding those services.</w:t>
                        </w:r>
                      </w:p>
                      <w:tbl>
                        <w:tblPr>
                          <w:tblW w:w="5000" w:type="pct"/>
                          <w:tblCellSpacing w:w="0" w:type="dxa"/>
                          <w:tblCellMar>
                            <w:left w:w="0" w:type="dxa"/>
                            <w:right w:w="0" w:type="dxa"/>
                          </w:tblCellMar>
                          <w:tblLook w:val="04A0" w:firstRow="1" w:lastRow="0" w:firstColumn="1" w:lastColumn="0" w:noHBand="0" w:noVBand="1"/>
                        </w:tblPr>
                        <w:tblGrid>
                          <w:gridCol w:w="8520"/>
                        </w:tblGrid>
                        <w:tr w:rsidR="006212A3" w14:paraId="3C392C8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82"/>
                              </w:tblGrid>
                              <w:tr w:rsidR="006212A3" w14:paraId="31AC3241" w14:textId="77777777">
                                <w:trPr>
                                  <w:tblCellSpacing w:w="0" w:type="dxa"/>
                                  <w:jc w:val="center"/>
                                </w:trPr>
                                <w:tc>
                                  <w:tcPr>
                                    <w:tcW w:w="0" w:type="auto"/>
                                    <w:vAlign w:val="center"/>
                                    <w:hideMark/>
                                  </w:tcPr>
                                  <w:p w14:paraId="4A40C401" w14:textId="77777777" w:rsidR="006212A3" w:rsidRDefault="006212A3">
                                    <w:pPr>
                                      <w:rPr>
                                        <w:rFonts w:ascii="Arial" w:hAnsi="Arial" w:cs="Arial"/>
                                        <w:sz w:val="24"/>
                                        <w:szCs w:val="24"/>
                                      </w:rPr>
                                    </w:pPr>
                                    <w:hyperlink r:id="rId7" w:anchor="#AdvisorEmail##" w:tgtFrame="_blank" w:history="1">
                                      <w:r>
                                        <w:rPr>
                                          <w:rStyle w:val="Hyperlink"/>
                                          <w:rFonts w:ascii="Helvetica" w:hAnsi="Helvetica" w:cs="Helvetica"/>
                                          <w:color w:val="FFFFFF"/>
                                          <w:bdr w:val="single" w:sz="48" w:space="0" w:color="808080" w:frame="1"/>
                                          <w:shd w:val="clear" w:color="auto" w:fill="808080"/>
                                        </w:rPr>
                                        <w:t>LET'S CONNECT</w:t>
                                      </w:r>
                                    </w:hyperlink>
                                  </w:p>
                                </w:tc>
                              </w:tr>
                            </w:tbl>
                            <w:p w14:paraId="3610C3ED" w14:textId="77777777" w:rsidR="006212A3" w:rsidRDefault="006212A3">
                              <w:pPr>
                                <w:jc w:val="center"/>
                                <w:rPr>
                                  <w:rFonts w:ascii="Arial" w:hAnsi="Arial" w:cs="Arial"/>
                                </w:rPr>
                              </w:pPr>
                            </w:p>
                          </w:tc>
                        </w:tr>
                      </w:tbl>
                      <w:p w14:paraId="786EBB57" w14:textId="77777777" w:rsidR="006212A3" w:rsidRDefault="006212A3">
                        <w:pPr>
                          <w:rPr>
                            <w:rFonts w:ascii="Arial"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6212A3" w14:paraId="7EF9BD2D" w14:textId="77777777">
                          <w:trPr>
                            <w:tblCellSpacing w:w="0" w:type="dxa"/>
                          </w:trPr>
                          <w:tc>
                            <w:tcPr>
                              <w:tcW w:w="0" w:type="auto"/>
                              <w:hideMark/>
                            </w:tcPr>
                            <w:p w14:paraId="4B15F98F" w14:textId="77777777" w:rsidR="006212A3" w:rsidRDefault="006212A3">
                              <w:pPr>
                                <w:rPr>
                                  <w:rFonts w:ascii="Arial" w:hAnsi="Arial" w:cs="Arial"/>
                                  <w:color w:val="505050"/>
                                  <w:sz w:val="21"/>
                                  <w:szCs w:val="21"/>
                                </w:rPr>
                              </w:pPr>
                            </w:p>
                          </w:tc>
                          <w:tc>
                            <w:tcPr>
                              <w:tcW w:w="0" w:type="auto"/>
                              <w:hideMark/>
                            </w:tcPr>
                            <w:p w14:paraId="2513ADA8" w14:textId="77777777" w:rsidR="006212A3" w:rsidRDefault="006212A3">
                              <w:pPr>
                                <w:pStyle w:val="NormalWeb"/>
                                <w:jc w:val="right"/>
                                <w:rPr>
                                  <w:rFonts w:ascii="Arial" w:hAnsi="Arial" w:cs="Arial"/>
                                  <w:color w:val="707070"/>
                                  <w:sz w:val="18"/>
                                  <w:szCs w:val="18"/>
                                </w:rPr>
                              </w:pPr>
                              <w:r>
                                <w:rPr>
                                  <w:rFonts w:ascii="Arial" w:hAnsi="Arial" w:cs="Arial"/>
                                  <w:color w:val="707070"/>
                                  <w:sz w:val="18"/>
                                  <w:szCs w:val="18"/>
                                </w:rPr>
                                <w:t>Tracking #1-05025788</w:t>
                              </w:r>
                              <w:r>
                                <w:rPr>
                                  <w:rFonts w:ascii="Arial" w:hAnsi="Arial" w:cs="Arial"/>
                                  <w:color w:val="707070"/>
                                  <w:sz w:val="18"/>
                                  <w:szCs w:val="18"/>
                                </w:rPr>
                                <w:br/>
                                <w:t>Expiration 06/23</w:t>
                              </w:r>
                            </w:p>
                          </w:tc>
                        </w:tr>
                      </w:tbl>
                      <w:p w14:paraId="4DDB5B90" w14:textId="77777777" w:rsidR="006212A3" w:rsidRDefault="006212A3" w:rsidP="006212A3">
                        <w:pPr>
                          <w:pStyle w:val="NormalWeb"/>
                          <w:rPr>
                            <w:rFonts w:ascii="Arial" w:hAnsi="Arial" w:cs="Arial"/>
                            <w:color w:val="707070"/>
                            <w:sz w:val="18"/>
                            <w:szCs w:val="18"/>
                          </w:rPr>
                        </w:pPr>
                        <w:r>
                          <w:rPr>
                            <w:rFonts w:ascii="Arial" w:hAnsi="Arial" w:cs="Arial"/>
                            <w:color w:val="707070"/>
                            <w:sz w:val="18"/>
                            <w:szCs w:val="18"/>
                            <w:vertAlign w:val="superscript"/>
                          </w:rPr>
                          <w:t>1</w:t>
                        </w:r>
                        <w:r>
                          <w:rPr>
                            <w:rFonts w:ascii="Arial" w:hAnsi="Arial" w:cs="Arial"/>
                            <w:color w:val="707070"/>
                            <w:sz w:val="18"/>
                            <w:szCs w:val="18"/>
                          </w:rPr>
                          <w:t> </w:t>
                        </w:r>
                        <w:hyperlink r:id="rId8" w:history="1">
                          <w:r>
                            <w:rPr>
                              <w:rStyle w:val="Hyperlink"/>
                              <w:rFonts w:ascii="Arial" w:hAnsi="Arial" w:cs="Arial"/>
                              <w:color w:val="707070"/>
                              <w:sz w:val="18"/>
                              <w:szCs w:val="18"/>
                            </w:rPr>
                            <w:t>https://www.hud.gov/topics/common_questions</w:t>
                          </w:r>
                        </w:hyperlink>
                      </w:p>
                      <w:p w14:paraId="735472A9" w14:textId="77777777" w:rsidR="006212A3" w:rsidRDefault="006212A3" w:rsidP="006212A3">
                        <w:pPr>
                          <w:pStyle w:val="NormalWeb"/>
                          <w:rPr>
                            <w:rFonts w:ascii="Arial" w:hAnsi="Arial" w:cs="Arial"/>
                            <w:color w:val="707070"/>
                            <w:sz w:val="18"/>
                            <w:szCs w:val="18"/>
                          </w:rPr>
                        </w:pPr>
                        <w:r>
                          <w:rPr>
                            <w:rFonts w:ascii="Arial" w:hAnsi="Arial" w:cs="Arial"/>
                            <w:color w:val="707070"/>
                            <w:sz w:val="18"/>
                            <w:szCs w:val="18"/>
                            <w:vertAlign w:val="superscript"/>
                          </w:rPr>
                          <w:t>2</w:t>
                        </w:r>
                        <w:r>
                          <w:rPr>
                            <w:rFonts w:ascii="Arial" w:hAnsi="Arial" w:cs="Arial"/>
                            <w:color w:val="707070"/>
                            <w:sz w:val="18"/>
                            <w:szCs w:val="18"/>
                          </w:rPr>
                          <w:t> </w:t>
                        </w:r>
                        <w:hyperlink r:id="rId9" w:history="1">
                          <w:r>
                            <w:rPr>
                              <w:rStyle w:val="Hyperlink"/>
                              <w:rFonts w:ascii="Arial" w:hAnsi="Arial" w:cs="Arial"/>
                              <w:color w:val="707070"/>
                              <w:sz w:val="18"/>
                              <w:szCs w:val="18"/>
                            </w:rPr>
                            <w:t>https://www.thebalance.com/how-do-buyer-s-agents-get-paid-1798872</w:t>
                          </w:r>
                        </w:hyperlink>
                        <w:r>
                          <w:rPr>
                            <w:rFonts w:ascii="Arial" w:hAnsi="Arial" w:cs="Arial"/>
                            <w:color w:val="707070"/>
                            <w:sz w:val="18"/>
                            <w:szCs w:val="18"/>
                          </w:rPr>
                          <w:t> [4/22/20]</w:t>
                        </w:r>
                      </w:p>
                      <w:p w14:paraId="09BFA4F3" w14:textId="77777777" w:rsidR="006212A3" w:rsidRDefault="006212A3" w:rsidP="006212A3">
                        <w:pPr>
                          <w:pStyle w:val="NormalWeb"/>
                          <w:rPr>
                            <w:rFonts w:ascii="Arial" w:hAnsi="Arial" w:cs="Arial"/>
                            <w:color w:val="707070"/>
                            <w:sz w:val="18"/>
                            <w:szCs w:val="18"/>
                          </w:rPr>
                        </w:pPr>
                        <w:r>
                          <w:rPr>
                            <w:rFonts w:ascii="Arial" w:hAnsi="Arial" w:cs="Arial"/>
                            <w:color w:val="707070"/>
                            <w:sz w:val="18"/>
                            <w:szCs w:val="18"/>
                            <w:vertAlign w:val="superscript"/>
                          </w:rPr>
                          <w:t>3</w:t>
                        </w:r>
                        <w:r>
                          <w:rPr>
                            <w:rFonts w:ascii="Arial" w:hAnsi="Arial" w:cs="Arial"/>
                            <w:color w:val="707070"/>
                            <w:sz w:val="18"/>
                            <w:szCs w:val="18"/>
                          </w:rPr>
                          <w:t> </w:t>
                        </w:r>
                        <w:hyperlink r:id="rId10" w:history="1">
                          <w:r>
                            <w:rPr>
                              <w:rStyle w:val="Hyperlink"/>
                              <w:rFonts w:ascii="Arial" w:hAnsi="Arial" w:cs="Arial"/>
                              <w:color w:val="707070"/>
                              <w:sz w:val="18"/>
                              <w:szCs w:val="18"/>
                            </w:rPr>
                            <w:t>https://www.policygenius.com/homeowners-insurance/how-much-does-homeownersinsurance-cost/</w:t>
                          </w:r>
                        </w:hyperlink>
                        <w:r>
                          <w:rPr>
                            <w:rFonts w:ascii="Arial" w:hAnsi="Arial" w:cs="Arial"/>
                            <w:color w:val="707070"/>
                            <w:sz w:val="18"/>
                            <w:szCs w:val="18"/>
                          </w:rPr>
                          <w:t> [6/2/20]</w:t>
                        </w:r>
                      </w:p>
                    </w:tc>
                  </w:tr>
                </w:tbl>
                <w:p w14:paraId="460908B7" w14:textId="77777777" w:rsidR="006212A3" w:rsidRDefault="006212A3">
                  <w:pPr>
                    <w:rPr>
                      <w:rFonts w:ascii="Arial" w:hAnsi="Arial" w:cs="Arial"/>
                      <w:sz w:val="24"/>
                      <w:szCs w:val="24"/>
                    </w:rPr>
                  </w:pPr>
                </w:p>
              </w:tc>
            </w:tr>
          </w:tbl>
          <w:p w14:paraId="14AA7F9E" w14:textId="77777777" w:rsidR="006212A3" w:rsidRDefault="006212A3">
            <w:pPr>
              <w:jc w:val="center"/>
              <w:rPr>
                <w:rFonts w:ascii="Arial" w:hAnsi="Arial" w:cs="Arial"/>
                <w:sz w:val="24"/>
                <w:szCs w:val="24"/>
              </w:rPr>
            </w:pPr>
          </w:p>
        </w:tc>
      </w:tr>
    </w:tbl>
    <w:p w14:paraId="5291183F" w14:textId="77777777" w:rsidR="006C3E6F" w:rsidRPr="006212A3" w:rsidRDefault="006C3E6F" w:rsidP="006212A3"/>
    <w:sectPr w:rsidR="006C3E6F" w:rsidRPr="0062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FE"/>
    <w:rsid w:val="006212A3"/>
    <w:rsid w:val="006C3E6F"/>
    <w:rsid w:val="00DF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1E92"/>
  <w15:chartTrackingRefBased/>
  <w15:docId w15:val="{B7472327-4B86-45C6-906C-7E2AAE39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F6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B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F6B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6B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BFE"/>
    <w:rPr>
      <w:b/>
      <w:bCs/>
    </w:rPr>
  </w:style>
  <w:style w:type="character" w:styleId="Hyperlink">
    <w:name w:val="Hyperlink"/>
    <w:basedOn w:val="DefaultParagraphFont"/>
    <w:uiPriority w:val="99"/>
    <w:semiHidden/>
    <w:unhideWhenUsed/>
    <w:rsid w:val="00621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90326">
      <w:bodyDiv w:val="1"/>
      <w:marLeft w:val="0"/>
      <w:marRight w:val="0"/>
      <w:marTop w:val="0"/>
      <w:marBottom w:val="0"/>
      <w:divBdr>
        <w:top w:val="none" w:sz="0" w:space="0" w:color="auto"/>
        <w:left w:val="none" w:sz="0" w:space="0" w:color="auto"/>
        <w:bottom w:val="none" w:sz="0" w:space="0" w:color="auto"/>
        <w:right w:val="none" w:sz="0" w:space="0" w:color="auto"/>
      </w:divBdr>
      <w:divsChild>
        <w:div w:id="2032146701">
          <w:marLeft w:val="0"/>
          <w:marRight w:val="0"/>
          <w:marTop w:val="0"/>
          <w:marBottom w:val="0"/>
          <w:divBdr>
            <w:top w:val="none" w:sz="0" w:space="0" w:color="auto"/>
            <w:left w:val="none" w:sz="0" w:space="0" w:color="auto"/>
            <w:bottom w:val="none" w:sz="0" w:space="0" w:color="auto"/>
            <w:right w:val="none" w:sz="0" w:space="0" w:color="auto"/>
          </w:divBdr>
        </w:div>
      </w:divsChild>
    </w:div>
    <w:div w:id="12977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topics/common_questions" TargetMode="Externa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olicygenius.com/homeowners-insurance/how-much-does-homeownersinsurance-cost/" TargetMode="Externa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thebalance.com/how-do-buyer-s-agents-get-paid-179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2021-12-27T15:09:00Z</dcterms:created>
  <dcterms:modified xsi:type="dcterms:W3CDTF">2021-12-27T15:31:00Z</dcterms:modified>
</cp:coreProperties>
</file>