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581C93" w:rsidRPr="00581C93" w14:paraId="57297FF3" w14:textId="77777777" w:rsidTr="00581C93">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581C93" w:rsidRPr="00581C93" w14:paraId="06C95F01" w14:textId="77777777">
              <w:trPr>
                <w:trHeight w:val="1800"/>
                <w:tblCellSpacing w:w="0" w:type="dxa"/>
                <w:jc w:val="center"/>
              </w:trPr>
              <w:tc>
                <w:tcPr>
                  <w:tcW w:w="5250" w:type="dxa"/>
                  <w:vAlign w:val="center"/>
                  <w:hideMark/>
                </w:tcPr>
                <w:p w14:paraId="541A0F4A" w14:textId="77777777" w:rsidR="00581C93" w:rsidRPr="00581C93" w:rsidRDefault="00581C93" w:rsidP="00581C93">
                  <w:pPr>
                    <w:spacing w:after="0" w:line="240" w:lineRule="auto"/>
                    <w:jc w:val="center"/>
                    <w:rPr>
                      <w:rFonts w:ascii="Times New Roman" w:eastAsia="Times New Roman" w:hAnsi="Times New Roman" w:cs="Times New Roman"/>
                      <w:sz w:val="24"/>
                      <w:szCs w:val="24"/>
                    </w:rPr>
                  </w:pPr>
                  <w:r w:rsidRPr="00581C93">
                    <w:rPr>
                      <w:rFonts w:ascii="Times New Roman" w:eastAsia="Times New Roman" w:hAnsi="Times New Roman" w:cs="Times New Roman"/>
                      <w:noProof/>
                      <w:color w:val="0000FF"/>
                      <w:sz w:val="24"/>
                      <w:szCs w:val="24"/>
                    </w:rPr>
                    <w:drawing>
                      <wp:inline distT="0" distB="0" distL="0" distR="0" wp14:anchorId="3E8BCEF9" wp14:editId="14900B3D">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764E6A06" w14:textId="77777777" w:rsidR="00581C93" w:rsidRPr="00581C93" w:rsidRDefault="00581C93" w:rsidP="00581C93">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581C93" w:rsidRPr="00581C93" w14:paraId="5BB7F996" w14:textId="77777777">
              <w:trPr>
                <w:jc w:val="center"/>
              </w:trPr>
              <w:tc>
                <w:tcPr>
                  <w:tcW w:w="0" w:type="auto"/>
                  <w:shd w:val="clear" w:color="auto" w:fill="FFFFFF"/>
                  <w:vAlign w:val="center"/>
                  <w:hideMark/>
                </w:tcPr>
                <w:p w14:paraId="39465F04" w14:textId="77777777" w:rsidR="00581C93" w:rsidRPr="00581C93" w:rsidRDefault="00581C93" w:rsidP="00581C93">
                  <w:pPr>
                    <w:spacing w:after="0" w:line="510" w:lineRule="atLeast"/>
                    <w:jc w:val="center"/>
                    <w:rPr>
                      <w:rFonts w:ascii="Arial" w:eastAsia="Times New Roman" w:hAnsi="Arial" w:cs="Arial"/>
                      <w:b/>
                      <w:bCs/>
                      <w:color w:val="202020"/>
                      <w:sz w:val="51"/>
                      <w:szCs w:val="51"/>
                    </w:rPr>
                  </w:pPr>
                  <w:r w:rsidRPr="00581C93">
                    <w:rPr>
                      <w:rFonts w:ascii="Arial" w:eastAsia="Times New Roman" w:hAnsi="Arial" w:cs="Arial"/>
                      <w:b/>
                      <w:bCs/>
                      <w:noProof/>
                      <w:color w:val="202020"/>
                      <w:sz w:val="51"/>
                      <w:szCs w:val="51"/>
                    </w:rPr>
                    <w:drawing>
                      <wp:inline distT="0" distB="0" distL="0" distR="0" wp14:anchorId="750BE266" wp14:editId="63F94895">
                        <wp:extent cx="5943600" cy="2145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5665"/>
                                </a:xfrm>
                                <a:prstGeom prst="rect">
                                  <a:avLst/>
                                </a:prstGeom>
                                <a:noFill/>
                                <a:ln>
                                  <a:noFill/>
                                </a:ln>
                              </pic:spPr>
                            </pic:pic>
                          </a:graphicData>
                        </a:graphic>
                      </wp:inline>
                    </w:drawing>
                  </w:r>
                </w:p>
              </w:tc>
            </w:tr>
          </w:tbl>
          <w:p w14:paraId="3BEEE73A" w14:textId="77777777" w:rsidR="00581C93" w:rsidRPr="00581C93" w:rsidRDefault="00581C93" w:rsidP="00581C93">
            <w:pPr>
              <w:spacing w:after="0" w:line="240" w:lineRule="auto"/>
              <w:jc w:val="center"/>
              <w:rPr>
                <w:rFonts w:ascii="Arial" w:eastAsia="Times New Roman" w:hAnsi="Arial" w:cs="Arial"/>
                <w:sz w:val="24"/>
                <w:szCs w:val="24"/>
              </w:rPr>
            </w:pPr>
          </w:p>
        </w:tc>
      </w:tr>
      <w:tr w:rsidR="00581C93" w:rsidRPr="00581C93" w14:paraId="02C1F90C" w14:textId="77777777" w:rsidTr="00581C93">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581C93" w:rsidRPr="00581C93" w14:paraId="4B13DB34"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581C93" w:rsidRPr="00581C93" w14:paraId="64A8DF26" w14:textId="77777777">
                    <w:tc>
                      <w:tcPr>
                        <w:tcW w:w="0" w:type="auto"/>
                        <w:hideMark/>
                      </w:tcPr>
                      <w:p w14:paraId="6E1E6BFC" w14:textId="77777777" w:rsidR="00581C93" w:rsidRPr="00581C93" w:rsidRDefault="00581C93" w:rsidP="00581C93">
                        <w:pPr>
                          <w:spacing w:after="0" w:line="527" w:lineRule="atLeast"/>
                          <w:outlineLvl w:val="0"/>
                          <w:rPr>
                            <w:rFonts w:ascii="Helvetica" w:eastAsia="Times New Roman" w:hAnsi="Helvetica" w:cs="Helvetica"/>
                            <w:b/>
                            <w:bCs/>
                            <w:color w:val="626262"/>
                            <w:kern w:val="36"/>
                            <w:sz w:val="41"/>
                            <w:szCs w:val="41"/>
                          </w:rPr>
                        </w:pPr>
                        <w:r w:rsidRPr="00581C93">
                          <w:rPr>
                            <w:rFonts w:ascii="Helvetica" w:eastAsia="Times New Roman" w:hAnsi="Helvetica" w:cs="Helvetica"/>
                            <w:b/>
                            <w:bCs/>
                            <w:color w:val="626262"/>
                            <w:kern w:val="36"/>
                            <w:sz w:val="41"/>
                            <w:szCs w:val="41"/>
                          </w:rPr>
                          <w:t>Read the Small Print before Signing up for Zero Interest Financing</w:t>
                        </w:r>
                      </w:p>
                      <w:p w14:paraId="2021932B" w14:textId="77777777" w:rsidR="00581C93" w:rsidRPr="00581C93" w:rsidRDefault="00581C93" w:rsidP="00581C93">
                        <w:pPr>
                          <w:spacing w:before="100" w:beforeAutospacing="1" w:after="100" w:afterAutospacing="1" w:line="240" w:lineRule="auto"/>
                          <w:outlineLvl w:val="2"/>
                          <w:rPr>
                            <w:rFonts w:ascii="Helvetica" w:eastAsia="Times New Roman" w:hAnsi="Helvetica" w:cs="Helvetica"/>
                            <w:b/>
                            <w:bCs/>
                            <w:color w:val="505050"/>
                            <w:sz w:val="24"/>
                            <w:szCs w:val="24"/>
                          </w:rPr>
                        </w:pPr>
                        <w:r w:rsidRPr="00581C93">
                          <w:rPr>
                            <w:rFonts w:ascii="Helvetica" w:eastAsia="Times New Roman" w:hAnsi="Helvetica" w:cs="Helvetica"/>
                            <w:b/>
                            <w:bCs/>
                            <w:color w:val="505050"/>
                            <w:sz w:val="24"/>
                            <w:szCs w:val="24"/>
                          </w:rPr>
                          <w:t>Free money! What’s not to like? Well, the devil is in the details, and before you agree to zero percent financing, take the time to read and u nderstand the fine print.</w:t>
                        </w:r>
                      </w:p>
                      <w:p w14:paraId="43178C66" w14:textId="77777777" w:rsidR="00581C93" w:rsidRPr="00581C93" w:rsidRDefault="00581C93" w:rsidP="00581C93">
                        <w:pPr>
                          <w:spacing w:before="100" w:beforeAutospacing="1" w:after="100" w:afterAutospacing="1" w:line="240" w:lineRule="auto"/>
                          <w:rPr>
                            <w:rFonts w:ascii="Arial" w:eastAsia="Times New Roman" w:hAnsi="Arial" w:cs="Arial"/>
                            <w:color w:val="505050"/>
                            <w:sz w:val="21"/>
                            <w:szCs w:val="21"/>
                          </w:rPr>
                        </w:pPr>
                        <w:r w:rsidRPr="00581C93">
                          <w:rPr>
                            <w:rFonts w:ascii="Arial" w:eastAsia="Times New Roman" w:hAnsi="Arial" w:cs="Arial"/>
                            <w:color w:val="505050"/>
                            <w:sz w:val="21"/>
                            <w:szCs w:val="21"/>
                          </w:rPr>
                          <w:t>Zero interest financing is a marketing tool. You’ll frequently see 0% APR (annual percentage rate) advertised for credit cards as well as finance deals for cars, furniture, appliances, and other big-ticket purchases. If you’re not careful, you might find 0% financing can become quite expensive.</w:t>
                        </w:r>
                      </w:p>
                      <w:p w14:paraId="7971EC3C" w14:textId="77777777" w:rsidR="00581C93" w:rsidRPr="00581C93" w:rsidRDefault="00581C93" w:rsidP="00581C93">
                        <w:pPr>
                          <w:spacing w:before="100" w:beforeAutospacing="1" w:after="100" w:afterAutospacing="1" w:line="240" w:lineRule="auto"/>
                          <w:rPr>
                            <w:rFonts w:ascii="Arial" w:eastAsia="Times New Roman" w:hAnsi="Arial" w:cs="Arial"/>
                            <w:color w:val="505050"/>
                            <w:sz w:val="21"/>
                            <w:szCs w:val="21"/>
                          </w:rPr>
                        </w:pPr>
                        <w:r w:rsidRPr="00581C93">
                          <w:rPr>
                            <w:rFonts w:ascii="Arial" w:eastAsia="Times New Roman" w:hAnsi="Arial" w:cs="Arial"/>
                            <w:b/>
                            <w:bCs/>
                            <w:color w:val="505050"/>
                            <w:sz w:val="21"/>
                            <w:szCs w:val="21"/>
                          </w:rPr>
                          <w:t>What zero percent financing does and doesn’t entail.</w:t>
                        </w:r>
                        <w:r w:rsidRPr="00581C93">
                          <w:rPr>
                            <w:rFonts w:ascii="Arial" w:eastAsia="Times New Roman" w:hAnsi="Arial" w:cs="Arial"/>
                            <w:color w:val="505050"/>
                            <w:sz w:val="21"/>
                            <w:szCs w:val="21"/>
                          </w:rPr>
                          <w:t> Zero percent financing means you don’t pay any interest during the agreed financing period—all your payments go to reduce principal. It does not mean the financing is free of fees and penalties, which can add considerably to the cost. Also, be on the lookout for 0% deferred interest deals. If you don’t repay the entire amount before the deal expires, you’ll have to pay all the accrued interest.</w:t>
                        </w:r>
                      </w:p>
                      <w:p w14:paraId="2280A911" w14:textId="77777777" w:rsidR="00581C93" w:rsidRPr="00581C93" w:rsidRDefault="00581C93" w:rsidP="00581C93">
                        <w:pPr>
                          <w:spacing w:before="100" w:beforeAutospacing="1" w:after="100" w:afterAutospacing="1" w:line="240" w:lineRule="auto"/>
                          <w:rPr>
                            <w:rFonts w:ascii="Arial" w:eastAsia="Times New Roman" w:hAnsi="Arial" w:cs="Arial"/>
                            <w:color w:val="505050"/>
                            <w:sz w:val="21"/>
                            <w:szCs w:val="21"/>
                          </w:rPr>
                        </w:pPr>
                        <w:r w:rsidRPr="00581C93">
                          <w:rPr>
                            <w:rFonts w:ascii="Arial" w:eastAsia="Times New Roman" w:hAnsi="Arial" w:cs="Arial"/>
                            <w:b/>
                            <w:bCs/>
                            <w:color w:val="505050"/>
                            <w:sz w:val="21"/>
                            <w:szCs w:val="21"/>
                          </w:rPr>
                          <w:t>First you must qualify.</w:t>
                        </w:r>
                        <w:r w:rsidRPr="00581C93">
                          <w:rPr>
                            <w:rFonts w:ascii="Arial" w:eastAsia="Times New Roman" w:hAnsi="Arial" w:cs="Arial"/>
                            <w:color w:val="505050"/>
                            <w:sz w:val="21"/>
                            <w:szCs w:val="21"/>
                          </w:rPr>
                          <w:t> Zero percent financing is not for everyone. Many such offers are contingent upon you having a good credit score. Look for telling words like “offer good for well-qualified buyers” when you see ads for 0% financing. Typically, this means a FICO credit score of at least 720 to 750 and perhaps higher.</w:t>
                        </w:r>
                        <w:r w:rsidRPr="00581C93">
                          <w:rPr>
                            <w:rFonts w:ascii="Arial" w:eastAsia="Times New Roman" w:hAnsi="Arial" w:cs="Arial"/>
                            <w:color w:val="505050"/>
                            <w:sz w:val="21"/>
                            <w:szCs w:val="21"/>
                            <w:vertAlign w:val="superscript"/>
                          </w:rPr>
                          <w:t>1</w:t>
                        </w:r>
                        <w:r w:rsidRPr="00581C93">
                          <w:rPr>
                            <w:rFonts w:ascii="Arial" w:eastAsia="Times New Roman" w:hAnsi="Arial" w:cs="Arial"/>
                            <w:color w:val="505050"/>
                            <w:sz w:val="21"/>
                            <w:szCs w:val="21"/>
                          </w:rPr>
                          <w:t> If your score is average or less, you might still qualify for a store credit card that offers a special 0% promotion, but little else.</w:t>
                        </w:r>
                      </w:p>
                      <w:p w14:paraId="3CE2C0FA" w14:textId="77777777" w:rsidR="00581C93" w:rsidRPr="00581C93" w:rsidRDefault="00581C93" w:rsidP="00581C93">
                        <w:pPr>
                          <w:spacing w:before="100" w:beforeAutospacing="1" w:after="100" w:afterAutospacing="1" w:line="240" w:lineRule="auto"/>
                          <w:rPr>
                            <w:rFonts w:ascii="Arial" w:eastAsia="Times New Roman" w:hAnsi="Arial" w:cs="Arial"/>
                            <w:color w:val="505050"/>
                            <w:sz w:val="21"/>
                            <w:szCs w:val="21"/>
                          </w:rPr>
                        </w:pPr>
                        <w:r w:rsidRPr="00581C93">
                          <w:rPr>
                            <w:rFonts w:ascii="Arial" w:eastAsia="Times New Roman" w:hAnsi="Arial" w:cs="Arial"/>
                            <w:b/>
                            <w:bCs/>
                            <w:color w:val="505050"/>
                            <w:sz w:val="21"/>
                            <w:szCs w:val="21"/>
                          </w:rPr>
                          <w:t>Understand credit card introductory offers.</w:t>
                        </w:r>
                        <w:r w:rsidRPr="00581C93">
                          <w:rPr>
                            <w:rFonts w:ascii="Arial" w:eastAsia="Times New Roman" w:hAnsi="Arial" w:cs="Arial"/>
                            <w:color w:val="505050"/>
                            <w:sz w:val="21"/>
                            <w:szCs w:val="21"/>
                          </w:rPr>
                          <w:t xml:space="preserve"> Many cards offer a 0% APR for a specified period after new cardmembers open an account. The period usually ranges from 6 to 18 </w:t>
                        </w:r>
                        <w:r w:rsidRPr="00581C93">
                          <w:rPr>
                            <w:rFonts w:ascii="Arial" w:eastAsia="Times New Roman" w:hAnsi="Arial" w:cs="Arial"/>
                            <w:color w:val="505050"/>
                            <w:sz w:val="21"/>
                            <w:szCs w:val="21"/>
                          </w:rPr>
                          <w:lastRenderedPageBreak/>
                          <w:t>months, after which the card’s regular APR kicks in. This makes sense if you are financing a big-ticket purchase that you can pay off in time. If you don’t, you’ll be paying regular APRs of 15% to 30% or higher on the balance. Introductory 0% APR balance transfer promotions can be good for credit card consolidation, but beware of the fees charged for each transfer, typically 3% to 5%.</w:t>
                        </w:r>
                        <w:r w:rsidRPr="00581C93">
                          <w:rPr>
                            <w:rFonts w:ascii="Arial" w:eastAsia="Times New Roman" w:hAnsi="Arial" w:cs="Arial"/>
                            <w:color w:val="505050"/>
                            <w:sz w:val="21"/>
                            <w:szCs w:val="21"/>
                            <w:vertAlign w:val="superscript"/>
                          </w:rPr>
                          <w:t>2</w:t>
                        </w:r>
                        <w:r w:rsidRPr="00581C93">
                          <w:rPr>
                            <w:rFonts w:ascii="Arial" w:eastAsia="Times New Roman" w:hAnsi="Arial" w:cs="Arial"/>
                            <w:color w:val="505050"/>
                            <w:sz w:val="21"/>
                            <w:szCs w:val="21"/>
                          </w:rPr>
                          <w:t> If you are late making a payment, you may lose the 0% financing and be assigned a high penalty APR.</w:t>
                        </w:r>
                      </w:p>
                      <w:p w14:paraId="6211FB74" w14:textId="77777777" w:rsidR="00581C93" w:rsidRPr="00581C93" w:rsidRDefault="00581C93" w:rsidP="00581C93">
                        <w:pPr>
                          <w:spacing w:before="100" w:beforeAutospacing="1" w:after="100" w:afterAutospacing="1" w:line="240" w:lineRule="auto"/>
                          <w:rPr>
                            <w:rFonts w:ascii="Arial" w:eastAsia="Times New Roman" w:hAnsi="Arial" w:cs="Arial"/>
                            <w:color w:val="505050"/>
                            <w:sz w:val="21"/>
                            <w:szCs w:val="21"/>
                          </w:rPr>
                        </w:pPr>
                        <w:r w:rsidRPr="00581C93">
                          <w:rPr>
                            <w:rFonts w:ascii="Arial" w:eastAsia="Times New Roman" w:hAnsi="Arial" w:cs="Arial"/>
                            <w:b/>
                            <w:bCs/>
                            <w:color w:val="505050"/>
                            <w:sz w:val="21"/>
                            <w:szCs w:val="21"/>
                          </w:rPr>
                          <w:t>Zero percent car financing is often limited.</w:t>
                        </w:r>
                        <w:r w:rsidRPr="00581C93">
                          <w:rPr>
                            <w:rFonts w:ascii="Arial" w:eastAsia="Times New Roman" w:hAnsi="Arial" w:cs="Arial"/>
                            <w:color w:val="505050"/>
                            <w:sz w:val="21"/>
                            <w:szCs w:val="21"/>
                          </w:rPr>
                          <w:t> You’ll often see at least one 0% financing deal at any car dealership, which may be great if that’s the model you want, and your credit is excellent. Before you take that offer, you’ll want to understand any additional costs that could be part of the loan. Origination fees or dealer preparation fees are common costs to look for. It’s important to note if the price of the car has been raised to compensate for the loss of interest income. You will also want to know what happens if you miss a payment, as it might jeopardize the deal and even create a demand to fully pay off the loan all at once.</w:t>
                        </w:r>
                      </w:p>
                      <w:p w14:paraId="66E879AA" w14:textId="77777777" w:rsidR="00581C93" w:rsidRPr="00581C93" w:rsidRDefault="00581C93" w:rsidP="00581C93">
                        <w:pPr>
                          <w:spacing w:before="100" w:beforeAutospacing="1" w:after="100" w:afterAutospacing="1" w:line="240" w:lineRule="auto"/>
                          <w:rPr>
                            <w:rFonts w:ascii="Arial" w:eastAsia="Times New Roman" w:hAnsi="Arial" w:cs="Arial"/>
                            <w:color w:val="505050"/>
                            <w:sz w:val="21"/>
                            <w:szCs w:val="21"/>
                          </w:rPr>
                        </w:pPr>
                        <w:r w:rsidRPr="00581C93">
                          <w:rPr>
                            <w:rFonts w:ascii="Arial" w:eastAsia="Times New Roman" w:hAnsi="Arial" w:cs="Arial"/>
                            <w:b/>
                            <w:bCs/>
                            <w:color w:val="505050"/>
                            <w:sz w:val="21"/>
                            <w:szCs w:val="21"/>
                          </w:rPr>
                          <w:t>A large zero percent credit card deal could hurt your credit score.</w:t>
                        </w:r>
                        <w:r w:rsidRPr="00581C93">
                          <w:rPr>
                            <w:rFonts w:ascii="Arial" w:eastAsia="Times New Roman" w:hAnsi="Arial" w:cs="Arial"/>
                            <w:color w:val="505050"/>
                            <w:sz w:val="21"/>
                            <w:szCs w:val="21"/>
                          </w:rPr>
                          <w:t>A credit utilization ratio (credit used/credit available) above 30% can hurt your credit score. Clearly, there are many things to consider before signing up for a 0% deal. Please contact me if you’d like to discuss a deal you’re considering, and I can help you identify any concerns lurking in the fine print.</w:t>
                        </w:r>
                      </w:p>
                      <w:tbl>
                        <w:tblPr>
                          <w:tblW w:w="5000" w:type="pct"/>
                          <w:tblCellSpacing w:w="0" w:type="dxa"/>
                          <w:tblCellMar>
                            <w:left w:w="0" w:type="dxa"/>
                            <w:right w:w="0" w:type="dxa"/>
                          </w:tblCellMar>
                          <w:tblLook w:val="04A0" w:firstRow="1" w:lastRow="0" w:firstColumn="1" w:lastColumn="0" w:noHBand="0" w:noVBand="1"/>
                        </w:tblPr>
                        <w:tblGrid>
                          <w:gridCol w:w="8520"/>
                        </w:tblGrid>
                        <w:tr w:rsidR="00581C93" w:rsidRPr="00581C93" w14:paraId="1F2666D0"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581C93" w:rsidRPr="00581C93" w14:paraId="5F79ED84" w14:textId="77777777">
                                <w:trPr>
                                  <w:tblCellSpacing w:w="0" w:type="dxa"/>
                                  <w:jc w:val="center"/>
                                </w:trPr>
                                <w:tc>
                                  <w:tcPr>
                                    <w:tcW w:w="0" w:type="auto"/>
                                    <w:vAlign w:val="center"/>
                                    <w:hideMark/>
                                  </w:tcPr>
                                  <w:p w14:paraId="7F905781" w14:textId="77777777" w:rsidR="00581C93" w:rsidRPr="00581C93" w:rsidRDefault="00581C93" w:rsidP="00581C93">
                                    <w:pPr>
                                      <w:spacing w:after="0" w:line="240" w:lineRule="auto"/>
                                      <w:rPr>
                                        <w:rFonts w:ascii="Arial" w:eastAsia="Times New Roman" w:hAnsi="Arial" w:cs="Arial"/>
                                        <w:sz w:val="24"/>
                                        <w:szCs w:val="24"/>
                                      </w:rPr>
                                    </w:pPr>
                                    <w:hyperlink r:id="rId7" w:anchor="#AdvisorEmail##" w:tgtFrame="_blank" w:history="1">
                                      <w:r w:rsidRPr="00581C93">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6399D251" w14:textId="77777777" w:rsidR="00581C93" w:rsidRPr="00581C93" w:rsidRDefault="00581C93" w:rsidP="00581C93">
                              <w:pPr>
                                <w:spacing w:after="0" w:line="240" w:lineRule="auto"/>
                                <w:jc w:val="center"/>
                                <w:rPr>
                                  <w:rFonts w:ascii="Arial" w:eastAsia="Times New Roman" w:hAnsi="Arial" w:cs="Arial"/>
                                  <w:sz w:val="24"/>
                                  <w:szCs w:val="24"/>
                                </w:rPr>
                              </w:pPr>
                            </w:p>
                          </w:tc>
                        </w:tr>
                      </w:tbl>
                      <w:p w14:paraId="1F42F6EE" w14:textId="77777777" w:rsidR="00581C93" w:rsidRPr="00581C93" w:rsidRDefault="00581C93" w:rsidP="00581C93">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8520"/>
                        </w:tblGrid>
                        <w:tr w:rsidR="00581C93" w:rsidRPr="00581C93" w14:paraId="3325A54B" w14:textId="77777777">
                          <w:trPr>
                            <w:tblCellSpacing w:w="0" w:type="dxa"/>
                          </w:trPr>
                          <w:tc>
                            <w:tcPr>
                              <w:tcW w:w="0" w:type="auto"/>
                              <w:hideMark/>
                            </w:tcPr>
                            <w:p w14:paraId="6707D93B" w14:textId="77777777" w:rsidR="00581C93" w:rsidRPr="00581C93" w:rsidRDefault="00581C93" w:rsidP="00581C93">
                              <w:pPr>
                                <w:spacing w:before="100" w:beforeAutospacing="1" w:after="100" w:afterAutospacing="1" w:line="240" w:lineRule="auto"/>
                                <w:rPr>
                                  <w:rFonts w:ascii="Arial" w:eastAsia="Times New Roman" w:hAnsi="Arial" w:cs="Arial"/>
                                  <w:color w:val="707070"/>
                                  <w:sz w:val="18"/>
                                  <w:szCs w:val="18"/>
                                </w:rPr>
                              </w:pPr>
                              <w:r w:rsidRPr="00581C93">
                                <w:rPr>
                                  <w:rFonts w:ascii="Arial" w:eastAsia="Times New Roman" w:hAnsi="Arial" w:cs="Arial"/>
                                  <w:color w:val="707070"/>
                                  <w:sz w:val="18"/>
                                  <w:szCs w:val="18"/>
                                  <w:vertAlign w:val="superscript"/>
                                </w:rPr>
                                <w:t>1</w:t>
                              </w:r>
                              <w:r w:rsidRPr="00581C93">
                                <w:rPr>
                                  <w:rFonts w:ascii="Arial" w:eastAsia="Times New Roman" w:hAnsi="Arial" w:cs="Arial"/>
                                  <w:color w:val="707070"/>
                                  <w:sz w:val="18"/>
                                  <w:szCs w:val="18"/>
                                </w:rPr>
                                <w:t> </w:t>
                              </w:r>
                              <w:hyperlink r:id="rId8" w:tgtFrame="_blank" w:history="1">
                                <w:r w:rsidRPr="00581C93">
                                  <w:rPr>
                                    <w:rFonts w:ascii="Arial" w:eastAsia="Times New Roman" w:hAnsi="Arial" w:cs="Arial"/>
                                    <w:color w:val="707070"/>
                                    <w:sz w:val="18"/>
                                    <w:szCs w:val="18"/>
                                    <w:u w:val="single"/>
                                  </w:rPr>
                                  <w:t>www.cardrates.com/advice/fico-credit-score-range-and-how-it-applies-to-credit-cards/</w:t>
                                </w:r>
                              </w:hyperlink>
                              <w:r w:rsidRPr="00581C93">
                                <w:rPr>
                                  <w:rFonts w:ascii="Arial" w:eastAsia="Times New Roman" w:hAnsi="Arial" w:cs="Arial"/>
                                  <w:color w:val="707070"/>
                                  <w:sz w:val="18"/>
                                  <w:szCs w:val="18"/>
                                </w:rPr>
                                <w:t> [11/16/20]</w:t>
                              </w:r>
                              <w:r w:rsidRPr="00581C93">
                                <w:rPr>
                                  <w:rFonts w:ascii="Arial" w:eastAsia="Times New Roman" w:hAnsi="Arial" w:cs="Arial"/>
                                  <w:color w:val="707070"/>
                                  <w:sz w:val="18"/>
                                  <w:szCs w:val="18"/>
                                </w:rPr>
                                <w:br/>
                              </w:r>
                              <w:r w:rsidRPr="00581C93">
                                <w:rPr>
                                  <w:rFonts w:ascii="Arial" w:eastAsia="Times New Roman" w:hAnsi="Arial" w:cs="Arial"/>
                                  <w:color w:val="707070"/>
                                  <w:sz w:val="18"/>
                                  <w:szCs w:val="18"/>
                                  <w:vertAlign w:val="superscript"/>
                                </w:rPr>
                                <w:t>2</w:t>
                              </w:r>
                              <w:r w:rsidRPr="00581C93">
                                <w:rPr>
                                  <w:rFonts w:ascii="Arial" w:eastAsia="Times New Roman" w:hAnsi="Arial" w:cs="Arial"/>
                                  <w:color w:val="707070"/>
                                  <w:sz w:val="18"/>
                                  <w:szCs w:val="18"/>
                                </w:rPr>
                                <w:t> </w:t>
                              </w:r>
                              <w:hyperlink r:id="rId9" w:anchor=":~:text=A%20balance%20transfer%20fee%20is,you%20transfer%20the%20debt%20to" w:tgtFrame="_blank" w:history="1">
                                <w:r w:rsidRPr="00581C93">
                                  <w:rPr>
                                    <w:rFonts w:ascii="Arial" w:eastAsia="Times New Roman" w:hAnsi="Arial" w:cs="Arial"/>
                                    <w:color w:val="707070"/>
                                    <w:sz w:val="18"/>
                                    <w:szCs w:val="18"/>
                                    <w:u w:val="single"/>
                                  </w:rPr>
                                  <w:t>www.creditkarma.com/credit-cards/i/what-is-a-balance-transfer-fee#:~:text=A%20 balance%20transfer%20fee%20is,you%20transfer%20the%20debt%20to</w:t>
                                </w:r>
                              </w:hyperlink>
                              <w:r w:rsidRPr="00581C93">
                                <w:rPr>
                                  <w:rFonts w:ascii="Arial" w:eastAsia="Times New Roman" w:hAnsi="Arial" w:cs="Arial"/>
                                  <w:color w:val="707070"/>
                                  <w:sz w:val="18"/>
                                  <w:szCs w:val="18"/>
                                </w:rPr>
                                <w:t> [11/5/20]</w:t>
                              </w:r>
                            </w:p>
                          </w:tc>
                        </w:tr>
                      </w:tbl>
                      <w:p w14:paraId="46430790" w14:textId="77777777" w:rsidR="00581C93" w:rsidRPr="00581C93" w:rsidRDefault="00581C93" w:rsidP="00581C93">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8520"/>
                        </w:tblGrid>
                        <w:tr w:rsidR="00581C93" w:rsidRPr="00581C93" w14:paraId="6FEB3EE9" w14:textId="77777777">
                          <w:trPr>
                            <w:tblCellSpacing w:w="0" w:type="dxa"/>
                          </w:trPr>
                          <w:tc>
                            <w:tcPr>
                              <w:tcW w:w="0" w:type="auto"/>
                              <w:hideMark/>
                            </w:tcPr>
                            <w:p w14:paraId="1485E693" w14:textId="77777777" w:rsidR="00581C93" w:rsidRPr="00581C93" w:rsidRDefault="00581C93" w:rsidP="00581C93">
                              <w:pPr>
                                <w:spacing w:before="100" w:beforeAutospacing="1" w:after="100" w:afterAutospacing="1" w:line="240" w:lineRule="auto"/>
                                <w:rPr>
                                  <w:rFonts w:ascii="Arial" w:eastAsia="Times New Roman" w:hAnsi="Arial" w:cs="Arial"/>
                                  <w:color w:val="707070"/>
                                  <w:sz w:val="18"/>
                                  <w:szCs w:val="18"/>
                                </w:rPr>
                              </w:pPr>
                              <w:r w:rsidRPr="00581C93">
                                <w:rPr>
                                  <w:rFonts w:ascii="Arial" w:eastAsia="Times New Roman" w:hAnsi="Arial" w:cs="Arial"/>
                                  <w:color w:val="707070"/>
                                  <w:sz w:val="18"/>
                                  <w:szCs w:val="18"/>
                                </w:rPr>
                                <w:t>Tracking # 1-05122124</w:t>
                              </w:r>
                              <w:r w:rsidRPr="00581C93">
                                <w:rPr>
                                  <w:rFonts w:ascii="Arial" w:eastAsia="Times New Roman" w:hAnsi="Arial" w:cs="Arial"/>
                                  <w:color w:val="707070"/>
                                  <w:sz w:val="18"/>
                                  <w:szCs w:val="18"/>
                                </w:rPr>
                                <w:br/>
                                <w:t>Expiration 03/24</w:t>
                              </w:r>
                            </w:p>
                          </w:tc>
                        </w:tr>
                      </w:tbl>
                      <w:p w14:paraId="2ED9629D" w14:textId="77777777" w:rsidR="00581C93" w:rsidRPr="00581C93" w:rsidRDefault="00581C93" w:rsidP="00581C93">
                        <w:pPr>
                          <w:spacing w:after="0" w:line="240" w:lineRule="auto"/>
                          <w:rPr>
                            <w:rFonts w:ascii="Arial" w:eastAsia="Times New Roman" w:hAnsi="Arial" w:cs="Arial"/>
                            <w:color w:val="505050"/>
                            <w:sz w:val="21"/>
                            <w:szCs w:val="21"/>
                          </w:rPr>
                        </w:pPr>
                      </w:p>
                    </w:tc>
                  </w:tr>
                </w:tbl>
                <w:p w14:paraId="3D85A4E6" w14:textId="77777777" w:rsidR="00581C93" w:rsidRPr="00581C93" w:rsidRDefault="00581C93" w:rsidP="00581C93">
                  <w:pPr>
                    <w:spacing w:after="0" w:line="240" w:lineRule="auto"/>
                    <w:rPr>
                      <w:rFonts w:ascii="Arial" w:eastAsia="Times New Roman" w:hAnsi="Arial" w:cs="Arial"/>
                      <w:sz w:val="24"/>
                      <w:szCs w:val="24"/>
                    </w:rPr>
                  </w:pPr>
                </w:p>
              </w:tc>
            </w:tr>
          </w:tbl>
          <w:p w14:paraId="53CD36F3" w14:textId="77777777" w:rsidR="00581C93" w:rsidRPr="00581C93" w:rsidRDefault="00581C93" w:rsidP="00581C93">
            <w:pPr>
              <w:spacing w:after="0" w:line="240" w:lineRule="auto"/>
              <w:jc w:val="center"/>
              <w:rPr>
                <w:rFonts w:ascii="Arial" w:eastAsia="Times New Roman" w:hAnsi="Arial" w:cs="Arial"/>
                <w:sz w:val="24"/>
                <w:szCs w:val="24"/>
              </w:rPr>
            </w:pPr>
          </w:p>
        </w:tc>
      </w:tr>
    </w:tbl>
    <w:p w14:paraId="667C02FF" w14:textId="77777777" w:rsidR="009D2CF9" w:rsidRDefault="009D2CF9"/>
    <w:sectPr w:rsidR="009D2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C93"/>
    <w:rsid w:val="00581C93"/>
    <w:rsid w:val="009D2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27BBB"/>
  <w15:chartTrackingRefBased/>
  <w15:docId w15:val="{8B7D4C7D-09FD-4FE6-BEE5-909AC783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81C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81C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C9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81C9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81C93"/>
    <w:rPr>
      <w:color w:val="0000FF"/>
      <w:u w:val="single"/>
    </w:rPr>
  </w:style>
  <w:style w:type="paragraph" w:styleId="NormalWeb">
    <w:name w:val="Normal (Web)"/>
    <w:basedOn w:val="Normal"/>
    <w:uiPriority w:val="99"/>
    <w:semiHidden/>
    <w:unhideWhenUsed/>
    <w:rsid w:val="00581C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1C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51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drates.com/advice/fico-credit-score-range-and-how-it-applies-to-credit-cards/" TargetMode="Externa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hyperlink" Target="https://www.creditkarma.com/credit-cards/i/what-is-a-balance-transfer-f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3244</Characters>
  <Application>Microsoft Office Word</Application>
  <DocSecurity>0</DocSecurity>
  <Lines>27</Lines>
  <Paragraphs>7</Paragraphs>
  <ScaleCrop>false</ScaleCrop>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jennifer.franchi@web.lpl.com</cp:lastModifiedBy>
  <cp:revision>1</cp:revision>
  <dcterms:created xsi:type="dcterms:W3CDTF">2021-12-28T20:36:00Z</dcterms:created>
  <dcterms:modified xsi:type="dcterms:W3CDTF">2021-12-28T20:36:00Z</dcterms:modified>
</cp:coreProperties>
</file>